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49663" w14:textId="77777777" w:rsidR="00BE4607" w:rsidRDefault="00BE4607" w:rsidP="00BA4A2D">
      <w:pPr>
        <w:widowControl w:val="0"/>
        <w:spacing w:after="0" w:line="480" w:lineRule="auto"/>
        <w:jc w:val="center"/>
        <w:rPr>
          <w:rFonts w:ascii="Times New Roman" w:hAnsi="Times New Roman" w:cs="Times New Roman"/>
        </w:rPr>
      </w:pPr>
    </w:p>
    <w:p w14:paraId="18D9F828" w14:textId="77777777" w:rsidR="00BE4607" w:rsidRDefault="00BE4607" w:rsidP="00BA4A2D">
      <w:pPr>
        <w:widowControl w:val="0"/>
        <w:spacing w:after="0" w:line="480" w:lineRule="auto"/>
        <w:jc w:val="center"/>
        <w:rPr>
          <w:rFonts w:ascii="Times New Roman" w:hAnsi="Times New Roman" w:cs="Times New Roman"/>
        </w:rPr>
      </w:pPr>
    </w:p>
    <w:p w14:paraId="7D11E61A" w14:textId="77777777" w:rsidR="00BE4607" w:rsidRPr="001E1083" w:rsidRDefault="00BE4607" w:rsidP="00BA4A2D">
      <w:pPr>
        <w:widowControl w:val="0"/>
        <w:spacing w:after="0" w:line="480" w:lineRule="auto"/>
        <w:jc w:val="center"/>
        <w:rPr>
          <w:rFonts w:ascii="Times New Roman" w:hAnsi="Times New Roman" w:cs="Times New Roman"/>
          <w:sz w:val="24"/>
          <w:szCs w:val="24"/>
        </w:rPr>
      </w:pPr>
    </w:p>
    <w:p w14:paraId="55B746BA" w14:textId="71EBB825" w:rsidR="00DF0D38" w:rsidRPr="001E1083" w:rsidRDefault="00DF0D38" w:rsidP="00BA4A2D">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 Self-</w:t>
      </w:r>
      <w:r w:rsidR="000B7313">
        <w:rPr>
          <w:rFonts w:ascii="Times New Roman" w:hAnsi="Times New Roman" w:cs="Times New Roman"/>
          <w:sz w:val="24"/>
          <w:szCs w:val="24"/>
        </w:rPr>
        <w:t>E</w:t>
      </w:r>
      <w:r>
        <w:rPr>
          <w:rFonts w:ascii="Times New Roman" w:hAnsi="Times New Roman" w:cs="Times New Roman"/>
          <w:sz w:val="24"/>
          <w:szCs w:val="24"/>
        </w:rPr>
        <w:t xml:space="preserve">fficacy in </w:t>
      </w:r>
      <w:r w:rsidR="00B90FB0">
        <w:rPr>
          <w:rFonts w:ascii="Times New Roman" w:hAnsi="Times New Roman" w:cs="Times New Roman"/>
          <w:sz w:val="24"/>
          <w:szCs w:val="24"/>
        </w:rPr>
        <w:t xml:space="preserve">the </w:t>
      </w:r>
      <w:r w:rsidR="000B7313">
        <w:rPr>
          <w:rFonts w:ascii="Times New Roman" w:hAnsi="Times New Roman" w:cs="Times New Roman"/>
          <w:sz w:val="24"/>
          <w:szCs w:val="24"/>
        </w:rPr>
        <w:t xml:space="preserve">Advanced </w:t>
      </w:r>
      <w:r>
        <w:rPr>
          <w:rFonts w:ascii="Times New Roman" w:hAnsi="Times New Roman" w:cs="Times New Roman"/>
          <w:sz w:val="24"/>
          <w:szCs w:val="24"/>
        </w:rPr>
        <w:t>Physics Enrollment Decisions of High School Women</w:t>
      </w:r>
    </w:p>
    <w:p w14:paraId="7592BF84" w14:textId="77777777" w:rsidR="00BE4607" w:rsidRPr="001E1083" w:rsidRDefault="00BE4607" w:rsidP="00BA4A2D">
      <w:pPr>
        <w:widowControl w:val="0"/>
        <w:spacing w:after="0" w:line="480" w:lineRule="auto"/>
        <w:jc w:val="center"/>
        <w:rPr>
          <w:rFonts w:ascii="Times New Roman" w:hAnsi="Times New Roman" w:cs="Times New Roman"/>
          <w:sz w:val="24"/>
          <w:szCs w:val="24"/>
        </w:rPr>
      </w:pPr>
      <w:r w:rsidRPr="001E1083">
        <w:rPr>
          <w:rFonts w:ascii="Times New Roman" w:hAnsi="Times New Roman" w:cs="Times New Roman"/>
          <w:sz w:val="24"/>
          <w:szCs w:val="24"/>
        </w:rPr>
        <w:t>Submitted by</w:t>
      </w:r>
    </w:p>
    <w:p w14:paraId="19CA198D" w14:textId="77777777" w:rsidR="00BE4607" w:rsidRPr="001E1083" w:rsidRDefault="00BE4607" w:rsidP="00BA4A2D">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Robert W. Sherman</w:t>
      </w:r>
    </w:p>
    <w:p w14:paraId="7942ED97" w14:textId="77777777" w:rsidR="00BE4607" w:rsidRPr="001E1083" w:rsidRDefault="00BE4607" w:rsidP="00BA4A2D">
      <w:pPr>
        <w:widowControl w:val="0"/>
        <w:spacing w:after="0" w:line="480" w:lineRule="auto"/>
        <w:jc w:val="center"/>
        <w:rPr>
          <w:rFonts w:ascii="Times New Roman" w:hAnsi="Times New Roman" w:cs="Times New Roman"/>
          <w:sz w:val="24"/>
          <w:szCs w:val="24"/>
        </w:rPr>
      </w:pPr>
    </w:p>
    <w:p w14:paraId="17A1C2FA" w14:textId="77777777" w:rsidR="00BE4607" w:rsidRPr="001E1083" w:rsidRDefault="00BE4607" w:rsidP="00BA4A2D">
      <w:pPr>
        <w:widowControl w:val="0"/>
        <w:spacing w:after="0" w:line="480" w:lineRule="auto"/>
        <w:jc w:val="center"/>
        <w:rPr>
          <w:rFonts w:ascii="Times New Roman" w:hAnsi="Times New Roman" w:cs="Times New Roman"/>
          <w:sz w:val="24"/>
          <w:szCs w:val="24"/>
        </w:rPr>
      </w:pPr>
    </w:p>
    <w:p w14:paraId="33C1B3E2" w14:textId="77777777" w:rsidR="00BE4607" w:rsidRPr="001E1083" w:rsidRDefault="00BE4607" w:rsidP="00BA4A2D">
      <w:pPr>
        <w:widowControl w:val="0"/>
        <w:spacing w:after="0" w:line="480" w:lineRule="auto"/>
        <w:jc w:val="center"/>
        <w:rPr>
          <w:rFonts w:ascii="Times New Roman" w:hAnsi="Times New Roman" w:cs="Times New Roman"/>
          <w:sz w:val="24"/>
          <w:szCs w:val="24"/>
        </w:rPr>
      </w:pPr>
    </w:p>
    <w:p w14:paraId="291EAE62" w14:textId="77777777" w:rsidR="00BE4607" w:rsidRPr="001E1083" w:rsidRDefault="00BE4607" w:rsidP="00BA4A2D">
      <w:pPr>
        <w:widowControl w:val="0"/>
        <w:spacing w:after="0" w:line="480" w:lineRule="auto"/>
        <w:jc w:val="center"/>
        <w:rPr>
          <w:rFonts w:ascii="Times New Roman" w:hAnsi="Times New Roman" w:cs="Times New Roman"/>
          <w:sz w:val="24"/>
          <w:szCs w:val="24"/>
        </w:rPr>
      </w:pPr>
    </w:p>
    <w:p w14:paraId="1914B1CE" w14:textId="77777777" w:rsidR="00BE4607" w:rsidRPr="001E1083" w:rsidRDefault="00BE4607" w:rsidP="00BA4A2D">
      <w:pPr>
        <w:widowControl w:val="0"/>
        <w:spacing w:after="0" w:line="480" w:lineRule="auto"/>
        <w:jc w:val="center"/>
        <w:rPr>
          <w:rFonts w:ascii="Times New Roman" w:hAnsi="Times New Roman" w:cs="Times New Roman"/>
          <w:sz w:val="24"/>
          <w:szCs w:val="24"/>
        </w:rPr>
      </w:pPr>
      <w:r w:rsidRPr="001E1083">
        <w:rPr>
          <w:rFonts w:ascii="Times New Roman" w:hAnsi="Times New Roman" w:cs="Times New Roman"/>
          <w:sz w:val="24"/>
          <w:szCs w:val="24"/>
        </w:rPr>
        <w:t>A Dissertation Presented in Partial Fulfillment</w:t>
      </w:r>
    </w:p>
    <w:p w14:paraId="49F5FB42" w14:textId="77777777" w:rsidR="00BE4607" w:rsidRPr="001E1083" w:rsidRDefault="00BE4607" w:rsidP="00BA4A2D">
      <w:pPr>
        <w:widowControl w:val="0"/>
        <w:spacing w:after="0" w:line="480" w:lineRule="auto"/>
        <w:jc w:val="center"/>
        <w:rPr>
          <w:rFonts w:ascii="Times New Roman" w:hAnsi="Times New Roman" w:cs="Times New Roman"/>
          <w:sz w:val="24"/>
          <w:szCs w:val="24"/>
        </w:rPr>
      </w:pPr>
      <w:r w:rsidRPr="001E1083">
        <w:rPr>
          <w:rFonts w:ascii="Times New Roman" w:hAnsi="Times New Roman" w:cs="Times New Roman"/>
          <w:sz w:val="24"/>
          <w:szCs w:val="24"/>
        </w:rPr>
        <w:t xml:space="preserve">of the Requirements for </w:t>
      </w:r>
      <w:r>
        <w:rPr>
          <w:rFonts w:ascii="Times New Roman" w:hAnsi="Times New Roman" w:cs="Times New Roman"/>
          <w:sz w:val="24"/>
          <w:szCs w:val="24"/>
        </w:rPr>
        <w:t>PhD</w:t>
      </w:r>
    </w:p>
    <w:p w14:paraId="7CB5017E" w14:textId="77777777" w:rsidR="00BE4607" w:rsidRPr="001E1083" w:rsidRDefault="00BE4607" w:rsidP="00BA4A2D">
      <w:pPr>
        <w:widowControl w:val="0"/>
        <w:spacing w:after="0" w:line="480" w:lineRule="auto"/>
        <w:jc w:val="center"/>
        <w:rPr>
          <w:rFonts w:ascii="Times New Roman" w:hAnsi="Times New Roman" w:cs="Times New Roman"/>
          <w:sz w:val="24"/>
          <w:szCs w:val="24"/>
        </w:rPr>
      </w:pPr>
    </w:p>
    <w:p w14:paraId="7B91F3F1" w14:textId="77777777" w:rsidR="00BE4607" w:rsidRPr="001E1083" w:rsidRDefault="00BE4607" w:rsidP="00BA4A2D">
      <w:pPr>
        <w:widowControl w:val="0"/>
        <w:spacing w:after="0" w:line="480" w:lineRule="auto"/>
        <w:jc w:val="center"/>
        <w:rPr>
          <w:rFonts w:ascii="Times New Roman" w:hAnsi="Times New Roman" w:cs="Times New Roman"/>
          <w:sz w:val="24"/>
          <w:szCs w:val="24"/>
        </w:rPr>
      </w:pPr>
    </w:p>
    <w:p w14:paraId="29485B64" w14:textId="77777777" w:rsidR="00BE4607" w:rsidRPr="001E1083" w:rsidRDefault="00BE4607" w:rsidP="00BA4A2D">
      <w:pPr>
        <w:widowControl w:val="0"/>
        <w:spacing w:after="0" w:line="480" w:lineRule="auto"/>
        <w:jc w:val="center"/>
        <w:rPr>
          <w:rFonts w:ascii="Times New Roman" w:hAnsi="Times New Roman" w:cs="Times New Roman"/>
          <w:sz w:val="24"/>
          <w:szCs w:val="24"/>
        </w:rPr>
      </w:pPr>
    </w:p>
    <w:p w14:paraId="57E6C219" w14:textId="77777777" w:rsidR="00BE4607" w:rsidRPr="001E1083" w:rsidRDefault="00BE4607" w:rsidP="00BA4A2D">
      <w:pPr>
        <w:widowControl w:val="0"/>
        <w:spacing w:after="0" w:line="480" w:lineRule="auto"/>
        <w:jc w:val="center"/>
        <w:rPr>
          <w:rFonts w:ascii="Times New Roman" w:hAnsi="Times New Roman" w:cs="Times New Roman"/>
          <w:sz w:val="24"/>
          <w:szCs w:val="24"/>
        </w:rPr>
      </w:pPr>
      <w:r w:rsidRPr="001E1083">
        <w:rPr>
          <w:rFonts w:ascii="Times New Roman" w:hAnsi="Times New Roman" w:cs="Times New Roman"/>
          <w:sz w:val="24"/>
          <w:szCs w:val="24"/>
        </w:rPr>
        <w:t>Concordia University - Chicago</w:t>
      </w:r>
    </w:p>
    <w:p w14:paraId="4AB130D1" w14:textId="77777777" w:rsidR="00BE4607" w:rsidRPr="001E1083" w:rsidRDefault="00BE4607" w:rsidP="00BA4A2D">
      <w:pPr>
        <w:widowControl w:val="0"/>
        <w:spacing w:after="0" w:line="480" w:lineRule="auto"/>
        <w:jc w:val="center"/>
        <w:rPr>
          <w:rFonts w:ascii="Times New Roman" w:hAnsi="Times New Roman" w:cs="Times New Roman"/>
          <w:sz w:val="24"/>
          <w:szCs w:val="24"/>
        </w:rPr>
      </w:pPr>
      <w:r w:rsidRPr="001E1083">
        <w:rPr>
          <w:rFonts w:ascii="Times New Roman" w:hAnsi="Times New Roman" w:cs="Times New Roman"/>
          <w:sz w:val="24"/>
          <w:szCs w:val="24"/>
        </w:rPr>
        <w:t>River Forest, Illinois</w:t>
      </w:r>
    </w:p>
    <w:p w14:paraId="0AAAA5CF" w14:textId="15451F91" w:rsidR="00BE4607" w:rsidRPr="001E1083" w:rsidRDefault="00695ADF" w:rsidP="00BA4A2D">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October 4, 2022</w:t>
      </w:r>
    </w:p>
    <w:p w14:paraId="4FA7AE8B" w14:textId="77777777" w:rsidR="00BE4607" w:rsidRDefault="00BE4607" w:rsidP="00BA4A2D">
      <w:pPr>
        <w:widowControl w:val="0"/>
        <w:spacing w:after="0" w:line="480" w:lineRule="auto"/>
        <w:jc w:val="center"/>
        <w:rPr>
          <w:rFonts w:ascii="Times New Roman" w:hAnsi="Times New Roman" w:cs="Times New Roman"/>
        </w:rPr>
      </w:pPr>
    </w:p>
    <w:p w14:paraId="6EDFFB1C" w14:textId="77777777" w:rsidR="00BE4607" w:rsidRDefault="00BE4607" w:rsidP="00BA4A2D">
      <w:pPr>
        <w:widowControl w:val="0"/>
        <w:spacing w:after="0" w:line="480" w:lineRule="auto"/>
        <w:jc w:val="center"/>
        <w:rPr>
          <w:rFonts w:ascii="Times New Roman" w:hAnsi="Times New Roman" w:cs="Times New Roman"/>
        </w:rPr>
      </w:pPr>
    </w:p>
    <w:p w14:paraId="21B1619A" w14:textId="77777777" w:rsidR="00BE4607" w:rsidRDefault="00BE4607" w:rsidP="00BA4A2D">
      <w:pPr>
        <w:widowControl w:val="0"/>
        <w:spacing w:after="0" w:line="480" w:lineRule="auto"/>
        <w:jc w:val="center"/>
        <w:rPr>
          <w:rFonts w:ascii="Times New Roman" w:hAnsi="Times New Roman" w:cs="Times New Roman"/>
        </w:rPr>
      </w:pPr>
    </w:p>
    <w:p w14:paraId="2CFA114F" w14:textId="77777777" w:rsidR="00BE4607" w:rsidRDefault="00BE4607" w:rsidP="00BA4A2D">
      <w:pPr>
        <w:widowControl w:val="0"/>
        <w:spacing w:after="0" w:line="480" w:lineRule="auto"/>
        <w:jc w:val="center"/>
        <w:rPr>
          <w:rFonts w:ascii="Times New Roman" w:hAnsi="Times New Roman" w:cs="Times New Roman"/>
        </w:rPr>
      </w:pPr>
    </w:p>
    <w:p w14:paraId="1076DEAA" w14:textId="77777777" w:rsidR="00BE4607" w:rsidRDefault="00BE4607" w:rsidP="00BA4A2D">
      <w:pPr>
        <w:widowControl w:val="0"/>
        <w:spacing w:after="0" w:line="480" w:lineRule="auto"/>
        <w:jc w:val="center"/>
        <w:rPr>
          <w:rFonts w:ascii="Times New Roman" w:hAnsi="Times New Roman" w:cs="Times New Roman"/>
        </w:rPr>
      </w:pPr>
    </w:p>
    <w:p w14:paraId="3B48E6DE" w14:textId="77777777" w:rsidR="00BE4607" w:rsidRDefault="00BE4607" w:rsidP="00BA4A2D">
      <w:pPr>
        <w:widowControl w:val="0"/>
        <w:spacing w:after="0" w:line="480" w:lineRule="auto"/>
        <w:jc w:val="center"/>
        <w:rPr>
          <w:rFonts w:ascii="Times New Roman" w:hAnsi="Times New Roman" w:cs="Times New Roman"/>
        </w:rPr>
      </w:pPr>
    </w:p>
    <w:p w14:paraId="76CD9495" w14:textId="77777777" w:rsidR="00BE4607" w:rsidRDefault="00BE4607" w:rsidP="00BA4A2D">
      <w:pPr>
        <w:widowControl w:val="0"/>
        <w:spacing w:after="0" w:line="480" w:lineRule="auto"/>
        <w:jc w:val="center"/>
        <w:rPr>
          <w:rFonts w:ascii="Times New Roman" w:hAnsi="Times New Roman" w:cs="Times New Roman"/>
        </w:rPr>
      </w:pPr>
    </w:p>
    <w:p w14:paraId="47CA1256" w14:textId="77777777" w:rsidR="00BE4607" w:rsidRDefault="00BE4607" w:rsidP="00BA4A2D">
      <w:pPr>
        <w:widowControl w:val="0"/>
        <w:spacing w:after="0" w:line="480" w:lineRule="auto"/>
        <w:jc w:val="center"/>
        <w:rPr>
          <w:rFonts w:ascii="Times New Roman" w:hAnsi="Times New Roman" w:cs="Times New Roman"/>
        </w:rPr>
      </w:pPr>
    </w:p>
    <w:p w14:paraId="2E2E50F9" w14:textId="77777777" w:rsidR="00BE4607" w:rsidRDefault="00BE4607" w:rsidP="00BA4A2D">
      <w:pPr>
        <w:widowControl w:val="0"/>
        <w:spacing w:after="0" w:line="480" w:lineRule="auto"/>
        <w:rPr>
          <w:rFonts w:ascii="Times New Roman" w:hAnsi="Times New Roman" w:cs="Times New Roman"/>
        </w:rPr>
      </w:pPr>
    </w:p>
    <w:p w14:paraId="41E5313B" w14:textId="77777777" w:rsidR="00BE4607" w:rsidRDefault="00BE4607" w:rsidP="00BA4A2D">
      <w:pPr>
        <w:widowControl w:val="0"/>
        <w:spacing w:after="0" w:line="480" w:lineRule="auto"/>
        <w:rPr>
          <w:rFonts w:ascii="Times New Roman" w:hAnsi="Times New Roman" w:cs="Times New Roman"/>
        </w:rPr>
      </w:pPr>
    </w:p>
    <w:p w14:paraId="109E76EF" w14:textId="77777777" w:rsidR="00BE4607" w:rsidRDefault="00BE4607" w:rsidP="00BA4A2D">
      <w:pPr>
        <w:widowControl w:val="0"/>
        <w:spacing w:after="0" w:line="480" w:lineRule="auto"/>
        <w:rPr>
          <w:rFonts w:ascii="Times New Roman" w:hAnsi="Times New Roman" w:cs="Times New Roman"/>
        </w:rPr>
      </w:pPr>
    </w:p>
    <w:p w14:paraId="2A4561C7" w14:textId="77777777" w:rsidR="00BE4607" w:rsidRDefault="00BE4607" w:rsidP="00BA4A2D">
      <w:pPr>
        <w:widowControl w:val="0"/>
        <w:spacing w:after="0" w:line="480" w:lineRule="auto"/>
        <w:rPr>
          <w:rFonts w:ascii="Times New Roman" w:hAnsi="Times New Roman" w:cs="Times New Roman"/>
        </w:rPr>
      </w:pPr>
    </w:p>
    <w:p w14:paraId="42C4D68D" w14:textId="77777777" w:rsidR="00BE4607" w:rsidRDefault="00BE4607" w:rsidP="00BA4A2D">
      <w:pPr>
        <w:widowControl w:val="0"/>
        <w:spacing w:after="0" w:line="480" w:lineRule="auto"/>
        <w:rPr>
          <w:rFonts w:ascii="Times New Roman" w:hAnsi="Times New Roman" w:cs="Times New Roman"/>
        </w:rPr>
      </w:pPr>
    </w:p>
    <w:p w14:paraId="1467AF19" w14:textId="77777777" w:rsidR="00BE4607" w:rsidRDefault="00BE4607" w:rsidP="00BA4A2D">
      <w:pPr>
        <w:widowControl w:val="0"/>
        <w:spacing w:after="0" w:line="480" w:lineRule="auto"/>
        <w:rPr>
          <w:rFonts w:ascii="Times New Roman" w:hAnsi="Times New Roman" w:cs="Times New Roman"/>
        </w:rPr>
      </w:pPr>
    </w:p>
    <w:p w14:paraId="68B51DAF" w14:textId="77777777" w:rsidR="00BE4607" w:rsidRDefault="00BE4607" w:rsidP="00BA4A2D">
      <w:pPr>
        <w:widowControl w:val="0"/>
        <w:spacing w:after="0" w:line="480" w:lineRule="auto"/>
        <w:rPr>
          <w:rFonts w:ascii="Times New Roman" w:hAnsi="Times New Roman" w:cs="Times New Roman"/>
        </w:rPr>
      </w:pPr>
    </w:p>
    <w:p w14:paraId="0740A6FB" w14:textId="77777777" w:rsidR="00BE4607" w:rsidRDefault="00BE4607" w:rsidP="00BA4A2D">
      <w:pPr>
        <w:widowControl w:val="0"/>
        <w:spacing w:after="0" w:line="480" w:lineRule="auto"/>
        <w:rPr>
          <w:rFonts w:ascii="Times New Roman" w:hAnsi="Times New Roman" w:cs="Times New Roman"/>
        </w:rPr>
      </w:pPr>
    </w:p>
    <w:p w14:paraId="5652ADF2" w14:textId="77777777" w:rsidR="00BE4607" w:rsidRPr="001E1083" w:rsidRDefault="00BE4607" w:rsidP="00BA4A2D">
      <w:pPr>
        <w:widowControl w:val="0"/>
        <w:spacing w:after="0" w:line="480" w:lineRule="auto"/>
        <w:rPr>
          <w:rFonts w:ascii="Times New Roman" w:hAnsi="Times New Roman" w:cs="Times New Roman"/>
          <w:sz w:val="24"/>
          <w:szCs w:val="24"/>
        </w:rPr>
      </w:pPr>
    </w:p>
    <w:p w14:paraId="3CE7F0AF" w14:textId="0D29560E" w:rsidR="00BE4607" w:rsidRPr="001E1083" w:rsidRDefault="00BE4607" w:rsidP="00BA4A2D">
      <w:pPr>
        <w:widowControl w:val="0"/>
        <w:spacing w:after="0" w:line="480" w:lineRule="auto"/>
        <w:jc w:val="center"/>
        <w:rPr>
          <w:rFonts w:ascii="Times New Roman" w:hAnsi="Times New Roman" w:cs="Times New Roman"/>
          <w:sz w:val="24"/>
          <w:szCs w:val="24"/>
        </w:rPr>
      </w:pPr>
      <w:r w:rsidRPr="001E1083">
        <w:rPr>
          <w:rFonts w:ascii="Times New Roman" w:hAnsi="Times New Roman" w:cs="Times New Roman"/>
          <w:sz w:val="24"/>
          <w:szCs w:val="24"/>
        </w:rPr>
        <w:t xml:space="preserve">© by </w:t>
      </w:r>
      <w:r>
        <w:rPr>
          <w:rFonts w:ascii="Times New Roman" w:hAnsi="Times New Roman" w:cs="Times New Roman"/>
          <w:sz w:val="24"/>
          <w:szCs w:val="24"/>
        </w:rPr>
        <w:t>Robert W. Sherman</w:t>
      </w:r>
      <w:r w:rsidRPr="001E1083">
        <w:rPr>
          <w:rFonts w:ascii="Times New Roman" w:hAnsi="Times New Roman" w:cs="Times New Roman"/>
          <w:sz w:val="24"/>
          <w:szCs w:val="24"/>
        </w:rPr>
        <w:t xml:space="preserve">, </w:t>
      </w:r>
      <w:r w:rsidR="00295437">
        <w:rPr>
          <w:rFonts w:ascii="Times New Roman" w:hAnsi="Times New Roman" w:cs="Times New Roman"/>
          <w:sz w:val="24"/>
          <w:szCs w:val="24"/>
        </w:rPr>
        <w:t>202</w:t>
      </w:r>
      <w:r w:rsidR="00806BF7">
        <w:rPr>
          <w:rFonts w:ascii="Times New Roman" w:hAnsi="Times New Roman" w:cs="Times New Roman"/>
          <w:sz w:val="24"/>
          <w:szCs w:val="24"/>
        </w:rPr>
        <w:t>2</w:t>
      </w:r>
      <w:r w:rsidRPr="001E1083">
        <w:rPr>
          <w:rFonts w:ascii="Times New Roman" w:hAnsi="Times New Roman" w:cs="Times New Roman"/>
          <w:sz w:val="24"/>
          <w:szCs w:val="24"/>
        </w:rPr>
        <w:t xml:space="preserve"> </w:t>
      </w:r>
    </w:p>
    <w:p w14:paraId="29094643" w14:textId="77777777" w:rsidR="00BE4607" w:rsidRPr="001E1083" w:rsidRDefault="00BE4607" w:rsidP="00BA4A2D">
      <w:pPr>
        <w:widowControl w:val="0"/>
        <w:spacing w:after="0" w:line="480" w:lineRule="auto"/>
        <w:jc w:val="center"/>
        <w:rPr>
          <w:rFonts w:ascii="Times New Roman" w:hAnsi="Times New Roman" w:cs="Times New Roman"/>
          <w:sz w:val="24"/>
          <w:szCs w:val="24"/>
        </w:rPr>
      </w:pPr>
      <w:r w:rsidRPr="001E1083">
        <w:rPr>
          <w:rFonts w:ascii="Times New Roman" w:hAnsi="Times New Roman" w:cs="Times New Roman"/>
          <w:sz w:val="24"/>
          <w:szCs w:val="24"/>
        </w:rPr>
        <w:t>All rights reserved.</w:t>
      </w:r>
    </w:p>
    <w:p w14:paraId="63D94643" w14:textId="77777777" w:rsidR="00BE4607" w:rsidRDefault="00BE4607" w:rsidP="00BA4A2D">
      <w:pPr>
        <w:widowControl w:val="0"/>
        <w:spacing w:after="0" w:line="480" w:lineRule="auto"/>
        <w:jc w:val="center"/>
        <w:rPr>
          <w:rFonts w:ascii="Times New Roman" w:hAnsi="Times New Roman" w:cs="Times New Roman"/>
        </w:rPr>
      </w:pPr>
    </w:p>
    <w:p w14:paraId="216974F3" w14:textId="77777777" w:rsidR="00BE4607" w:rsidRDefault="00BE4607" w:rsidP="00BA4A2D">
      <w:pPr>
        <w:widowControl w:val="0"/>
        <w:spacing w:after="0" w:line="480" w:lineRule="auto"/>
        <w:rPr>
          <w:rFonts w:ascii="Times New Roman" w:hAnsi="Times New Roman" w:cs="Times New Roman"/>
        </w:rPr>
      </w:pPr>
    </w:p>
    <w:p w14:paraId="65B84460" w14:textId="77777777" w:rsidR="00BE4607" w:rsidRDefault="00BE4607" w:rsidP="00BA4A2D">
      <w:pPr>
        <w:widowControl w:val="0"/>
        <w:spacing w:after="0" w:line="480" w:lineRule="auto"/>
        <w:rPr>
          <w:rFonts w:ascii="Times New Roman" w:hAnsi="Times New Roman" w:cs="Times New Roman"/>
        </w:rPr>
      </w:pPr>
    </w:p>
    <w:p w14:paraId="6923F642" w14:textId="77777777" w:rsidR="00BE4607" w:rsidRDefault="00BE4607" w:rsidP="00BA4A2D">
      <w:pPr>
        <w:widowControl w:val="0"/>
        <w:spacing w:after="0" w:line="480" w:lineRule="auto"/>
        <w:rPr>
          <w:rFonts w:ascii="Times New Roman" w:hAnsi="Times New Roman" w:cs="Times New Roman"/>
        </w:rPr>
      </w:pPr>
    </w:p>
    <w:p w14:paraId="23AB2496" w14:textId="77777777" w:rsidR="00BE4607" w:rsidRDefault="00BE4607" w:rsidP="00BA4A2D">
      <w:pPr>
        <w:widowControl w:val="0"/>
        <w:spacing w:after="0" w:line="480" w:lineRule="auto"/>
        <w:rPr>
          <w:rFonts w:ascii="Times New Roman" w:hAnsi="Times New Roman" w:cs="Times New Roman"/>
        </w:rPr>
      </w:pPr>
    </w:p>
    <w:p w14:paraId="77A74377" w14:textId="77777777" w:rsidR="00BE4607" w:rsidRDefault="00BE4607" w:rsidP="00BA4A2D">
      <w:pPr>
        <w:widowControl w:val="0"/>
        <w:spacing w:after="0" w:line="480" w:lineRule="auto"/>
        <w:rPr>
          <w:rFonts w:ascii="Times New Roman" w:hAnsi="Times New Roman" w:cs="Times New Roman"/>
        </w:rPr>
      </w:pPr>
    </w:p>
    <w:p w14:paraId="66D4162D" w14:textId="77777777" w:rsidR="00BE4607" w:rsidRDefault="00BE4607" w:rsidP="00BA4A2D">
      <w:pPr>
        <w:widowControl w:val="0"/>
        <w:spacing w:after="0" w:line="480" w:lineRule="auto"/>
        <w:rPr>
          <w:rFonts w:ascii="Times New Roman" w:hAnsi="Times New Roman" w:cs="Times New Roman"/>
        </w:rPr>
      </w:pPr>
    </w:p>
    <w:p w14:paraId="7163B68E" w14:textId="77777777" w:rsidR="00BE4607" w:rsidRDefault="00BE4607" w:rsidP="00BA4A2D">
      <w:pPr>
        <w:widowControl w:val="0"/>
        <w:spacing w:after="0" w:line="480" w:lineRule="auto"/>
        <w:rPr>
          <w:rFonts w:ascii="Times New Roman" w:hAnsi="Times New Roman" w:cs="Times New Roman"/>
        </w:rPr>
      </w:pPr>
    </w:p>
    <w:p w14:paraId="195F493E" w14:textId="77777777" w:rsidR="00BE4607" w:rsidRDefault="00BE4607" w:rsidP="00BA4A2D">
      <w:pPr>
        <w:widowControl w:val="0"/>
        <w:spacing w:after="0" w:line="480" w:lineRule="auto"/>
        <w:rPr>
          <w:rFonts w:ascii="Times New Roman" w:hAnsi="Times New Roman" w:cs="Times New Roman"/>
        </w:rPr>
      </w:pPr>
    </w:p>
    <w:p w14:paraId="77899979" w14:textId="77777777" w:rsidR="00BE4607" w:rsidRDefault="00BE4607" w:rsidP="00BA4A2D">
      <w:pPr>
        <w:widowControl w:val="0"/>
        <w:spacing w:after="0" w:line="480" w:lineRule="auto"/>
        <w:rPr>
          <w:rFonts w:ascii="Times New Roman" w:hAnsi="Times New Roman" w:cs="Times New Roman"/>
        </w:rPr>
      </w:pPr>
    </w:p>
    <w:p w14:paraId="74D1C1DF" w14:textId="77777777" w:rsidR="00BE4607" w:rsidRDefault="00BE4607" w:rsidP="00BA4A2D">
      <w:pPr>
        <w:widowControl w:val="0"/>
        <w:spacing w:after="0" w:line="480" w:lineRule="auto"/>
        <w:rPr>
          <w:rFonts w:ascii="Times New Roman" w:hAnsi="Times New Roman" w:cs="Times New Roman"/>
        </w:rPr>
      </w:pPr>
    </w:p>
    <w:p w14:paraId="2E077F39" w14:textId="2E83751E" w:rsidR="00806BF7" w:rsidRDefault="00806BF7" w:rsidP="00BA4A2D">
      <w:pPr>
        <w:widowControl w:val="0"/>
        <w:spacing w:after="0" w:line="480" w:lineRule="auto"/>
        <w:rPr>
          <w:rFonts w:ascii="Times New Roman" w:hAnsi="Times New Roman" w:cs="Times New Roman"/>
        </w:rPr>
      </w:pPr>
      <w:r>
        <w:rPr>
          <w:rFonts w:ascii="Times New Roman" w:hAnsi="Times New Roman" w:cs="Times New Roman"/>
        </w:rPr>
        <w:br w:type="page"/>
      </w:r>
    </w:p>
    <w:p w14:paraId="7CD50C6B" w14:textId="77777777" w:rsidR="000943B8" w:rsidRDefault="000943B8" w:rsidP="000943B8">
      <w:pPr>
        <w:widowControl w:val="0"/>
        <w:spacing w:after="0" w:line="480" w:lineRule="auto"/>
        <w:jc w:val="center"/>
        <w:rPr>
          <w:rFonts w:ascii="Times New Roman" w:hAnsi="Times New Roman" w:cs="Times New Roman"/>
          <w:sz w:val="24"/>
          <w:szCs w:val="24"/>
        </w:rPr>
      </w:pPr>
    </w:p>
    <w:p w14:paraId="3935C532" w14:textId="77777777" w:rsidR="000943B8" w:rsidRDefault="000943B8" w:rsidP="000943B8">
      <w:pPr>
        <w:widowControl w:val="0"/>
        <w:spacing w:after="0" w:line="480" w:lineRule="auto"/>
        <w:jc w:val="center"/>
        <w:rPr>
          <w:rFonts w:ascii="Times New Roman" w:hAnsi="Times New Roman" w:cs="Times New Roman"/>
          <w:sz w:val="24"/>
          <w:szCs w:val="24"/>
        </w:rPr>
      </w:pPr>
    </w:p>
    <w:p w14:paraId="431ED881" w14:textId="7F7B5340" w:rsidR="00806BF7" w:rsidRPr="001E1083" w:rsidRDefault="00806BF7" w:rsidP="00BA4A2D">
      <w:pPr>
        <w:widowControl w:val="0"/>
        <w:spacing w:after="0" w:line="480" w:lineRule="auto"/>
        <w:jc w:val="center"/>
        <w:rPr>
          <w:rFonts w:ascii="Times New Roman" w:hAnsi="Times New Roman" w:cs="Times New Roman"/>
          <w:sz w:val="24"/>
          <w:szCs w:val="24"/>
        </w:rPr>
      </w:pPr>
      <w:r w:rsidRPr="001E1083">
        <w:rPr>
          <w:rFonts w:ascii="Times New Roman" w:hAnsi="Times New Roman" w:cs="Times New Roman"/>
          <w:sz w:val="24"/>
          <w:szCs w:val="24"/>
        </w:rPr>
        <w:t>CONCORDIA UNIVERSITY CHICAGO</w:t>
      </w:r>
    </w:p>
    <w:p w14:paraId="11649433" w14:textId="77777777" w:rsidR="00806BF7" w:rsidRPr="001E1083" w:rsidRDefault="00806BF7" w:rsidP="00BA4A2D">
      <w:pPr>
        <w:widowControl w:val="0"/>
        <w:spacing w:after="0" w:line="480" w:lineRule="auto"/>
        <w:jc w:val="center"/>
        <w:rPr>
          <w:rFonts w:ascii="Times New Roman" w:hAnsi="Times New Roman" w:cs="Times New Roman"/>
          <w:sz w:val="24"/>
          <w:szCs w:val="24"/>
        </w:rPr>
      </w:pPr>
    </w:p>
    <w:p w14:paraId="6513391C" w14:textId="4C2484EE" w:rsidR="00806BF7" w:rsidRPr="001E1083" w:rsidRDefault="00806BF7" w:rsidP="00BA4A2D">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Self-Efficacy in </w:t>
      </w:r>
      <w:r w:rsidR="00B90FB0">
        <w:rPr>
          <w:rFonts w:ascii="Times New Roman" w:hAnsi="Times New Roman" w:cs="Times New Roman"/>
          <w:sz w:val="24"/>
          <w:szCs w:val="24"/>
        </w:rPr>
        <w:t xml:space="preserve">the </w:t>
      </w:r>
      <w:r>
        <w:rPr>
          <w:rFonts w:ascii="Times New Roman" w:hAnsi="Times New Roman" w:cs="Times New Roman"/>
          <w:sz w:val="24"/>
          <w:szCs w:val="24"/>
        </w:rPr>
        <w:t>Advanced Physics Enrollment Decisions of High School Women</w:t>
      </w:r>
    </w:p>
    <w:p w14:paraId="771BBB08" w14:textId="77777777" w:rsidR="00806BF7" w:rsidRPr="001E1083" w:rsidRDefault="00806BF7" w:rsidP="00BA4A2D">
      <w:pPr>
        <w:widowControl w:val="0"/>
        <w:spacing w:after="0" w:line="480" w:lineRule="auto"/>
        <w:jc w:val="center"/>
        <w:rPr>
          <w:rFonts w:ascii="Times New Roman" w:hAnsi="Times New Roman" w:cs="Times New Roman"/>
          <w:sz w:val="24"/>
          <w:szCs w:val="24"/>
        </w:rPr>
      </w:pPr>
      <w:r w:rsidRPr="001E1083">
        <w:rPr>
          <w:rFonts w:ascii="Times New Roman" w:hAnsi="Times New Roman" w:cs="Times New Roman"/>
          <w:sz w:val="24"/>
          <w:szCs w:val="24"/>
        </w:rPr>
        <w:t>by</w:t>
      </w:r>
    </w:p>
    <w:p w14:paraId="7DE30781" w14:textId="5C832F21" w:rsidR="00806BF7" w:rsidRPr="001E1083" w:rsidRDefault="00806BF7" w:rsidP="00BA4A2D">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Robert W. Sherman</w:t>
      </w:r>
    </w:p>
    <w:p w14:paraId="09A3EBC2" w14:textId="77777777" w:rsidR="00806BF7" w:rsidRPr="001E1083" w:rsidRDefault="00806BF7" w:rsidP="00BA4A2D">
      <w:pPr>
        <w:widowControl w:val="0"/>
        <w:spacing w:after="0" w:line="480" w:lineRule="auto"/>
        <w:jc w:val="center"/>
        <w:rPr>
          <w:rFonts w:ascii="Times New Roman" w:hAnsi="Times New Roman" w:cs="Times New Roman"/>
          <w:sz w:val="24"/>
          <w:szCs w:val="24"/>
        </w:rPr>
      </w:pPr>
    </w:p>
    <w:p w14:paraId="709829BF" w14:textId="77777777" w:rsidR="00806BF7" w:rsidRPr="001E1083" w:rsidRDefault="00806BF7" w:rsidP="00BA4A2D">
      <w:pPr>
        <w:widowControl w:val="0"/>
        <w:spacing w:after="0" w:line="480" w:lineRule="auto"/>
        <w:jc w:val="center"/>
        <w:rPr>
          <w:rFonts w:ascii="Times New Roman" w:hAnsi="Times New Roman" w:cs="Times New Roman"/>
          <w:sz w:val="24"/>
          <w:szCs w:val="24"/>
        </w:rPr>
      </w:pPr>
    </w:p>
    <w:p w14:paraId="18866E0A" w14:textId="77777777" w:rsidR="00806BF7" w:rsidRPr="001E1083" w:rsidRDefault="00806BF7" w:rsidP="00BA4A2D">
      <w:pPr>
        <w:widowControl w:val="0"/>
        <w:spacing w:after="0" w:line="480" w:lineRule="auto"/>
        <w:jc w:val="center"/>
        <w:rPr>
          <w:rFonts w:ascii="Times New Roman" w:hAnsi="Times New Roman" w:cs="Times New Roman"/>
          <w:sz w:val="24"/>
          <w:szCs w:val="24"/>
        </w:rPr>
      </w:pPr>
    </w:p>
    <w:p w14:paraId="78382D9A" w14:textId="77777777" w:rsidR="00806BF7" w:rsidRPr="001E1083" w:rsidRDefault="00806BF7" w:rsidP="00BA4A2D">
      <w:pPr>
        <w:widowControl w:val="0"/>
        <w:spacing w:after="0" w:line="480" w:lineRule="auto"/>
        <w:jc w:val="center"/>
        <w:rPr>
          <w:rFonts w:ascii="Times New Roman" w:hAnsi="Times New Roman" w:cs="Times New Roman"/>
          <w:sz w:val="24"/>
          <w:szCs w:val="24"/>
        </w:rPr>
      </w:pPr>
      <w:r w:rsidRPr="001E1083">
        <w:rPr>
          <w:rFonts w:ascii="Times New Roman" w:hAnsi="Times New Roman" w:cs="Times New Roman"/>
          <w:sz w:val="24"/>
          <w:szCs w:val="24"/>
        </w:rPr>
        <w:t>has been approved</w:t>
      </w:r>
    </w:p>
    <w:p w14:paraId="1E3A6116" w14:textId="707566CD" w:rsidR="00806BF7" w:rsidRPr="001E1083" w:rsidRDefault="00806BF7" w:rsidP="00BA4A2D">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October 4, 2022</w:t>
      </w:r>
    </w:p>
    <w:p w14:paraId="40AB5173" w14:textId="77777777" w:rsidR="00806BF7" w:rsidRPr="008D51FC" w:rsidRDefault="00806BF7" w:rsidP="00BA4A2D">
      <w:pPr>
        <w:widowControl w:val="0"/>
        <w:spacing w:after="0" w:line="480" w:lineRule="auto"/>
        <w:rPr>
          <w:rFonts w:ascii="Times New Roman" w:hAnsi="Times New Roman" w:cs="Times New Roman"/>
        </w:rPr>
      </w:pPr>
    </w:p>
    <w:p w14:paraId="0760750F" w14:textId="77777777" w:rsidR="00806BF7" w:rsidRDefault="00806BF7" w:rsidP="00BA4A2D">
      <w:pPr>
        <w:widowControl w:val="0"/>
        <w:spacing w:after="0" w:line="480" w:lineRule="auto"/>
        <w:rPr>
          <w:rFonts w:ascii="Times New Roman" w:hAnsi="Times New Roman" w:cs="Times New Roman"/>
        </w:rPr>
      </w:pPr>
    </w:p>
    <w:p w14:paraId="1A77707B" w14:textId="77777777" w:rsidR="00806BF7" w:rsidRDefault="00806BF7" w:rsidP="00BA4A2D">
      <w:pPr>
        <w:widowControl w:val="0"/>
        <w:spacing w:after="0" w:line="480" w:lineRule="auto"/>
        <w:rPr>
          <w:rFonts w:ascii="Times New Roman" w:hAnsi="Times New Roman" w:cs="Times New Roman"/>
        </w:rPr>
      </w:pPr>
    </w:p>
    <w:p w14:paraId="7322E2B7" w14:textId="77777777" w:rsidR="00806BF7" w:rsidRDefault="00806BF7" w:rsidP="00BA4A2D">
      <w:pPr>
        <w:widowControl w:val="0"/>
        <w:spacing w:after="0" w:line="480" w:lineRule="auto"/>
        <w:rPr>
          <w:rFonts w:ascii="Times New Roman" w:hAnsi="Times New Roman" w:cs="Times New Roman"/>
        </w:rPr>
      </w:pPr>
    </w:p>
    <w:p w14:paraId="1C6083FD" w14:textId="77777777" w:rsidR="00806BF7" w:rsidRDefault="00806BF7" w:rsidP="00BA4A2D">
      <w:pPr>
        <w:widowControl w:val="0"/>
        <w:spacing w:after="0" w:line="480" w:lineRule="auto"/>
        <w:rPr>
          <w:rFonts w:ascii="Times New Roman" w:hAnsi="Times New Roman" w:cs="Times New Roman"/>
        </w:rPr>
      </w:pPr>
    </w:p>
    <w:p w14:paraId="3DB43DFA" w14:textId="77777777" w:rsidR="00806BF7" w:rsidRDefault="00806BF7" w:rsidP="00BA4A2D">
      <w:pPr>
        <w:widowControl w:val="0"/>
        <w:spacing w:after="0" w:line="480" w:lineRule="auto"/>
        <w:rPr>
          <w:rFonts w:ascii="Times New Roman" w:hAnsi="Times New Roman" w:cs="Times New Roman"/>
        </w:rPr>
      </w:pPr>
    </w:p>
    <w:p w14:paraId="46BA7B15" w14:textId="77777777" w:rsidR="00806BF7" w:rsidRDefault="00806BF7" w:rsidP="00BA4A2D">
      <w:pPr>
        <w:widowControl w:val="0"/>
        <w:spacing w:after="0" w:line="480" w:lineRule="auto"/>
        <w:rPr>
          <w:rFonts w:ascii="Times New Roman" w:hAnsi="Times New Roman" w:cs="Times New Roman"/>
        </w:rPr>
      </w:pPr>
    </w:p>
    <w:p w14:paraId="7B10B79B" w14:textId="58069FBF" w:rsidR="00806BF7" w:rsidRPr="001E1083" w:rsidRDefault="00806BF7" w:rsidP="00BA4A2D">
      <w:pPr>
        <w:widowControl w:val="0"/>
        <w:spacing w:after="0" w:line="480" w:lineRule="auto"/>
        <w:rPr>
          <w:rFonts w:ascii="Times New Roman" w:hAnsi="Times New Roman" w:cs="Times New Roman"/>
          <w:sz w:val="24"/>
          <w:szCs w:val="24"/>
        </w:rPr>
      </w:pPr>
      <w:r w:rsidRPr="001E1083">
        <w:rPr>
          <w:rFonts w:ascii="Times New Roman" w:hAnsi="Times New Roman" w:cs="Times New Roman"/>
          <w:sz w:val="24"/>
          <w:szCs w:val="24"/>
        </w:rPr>
        <w:tab/>
      </w:r>
      <w:r>
        <w:rPr>
          <w:rFonts w:ascii="Times New Roman" w:hAnsi="Times New Roman" w:cs="Times New Roman"/>
          <w:sz w:val="24"/>
          <w:szCs w:val="24"/>
        </w:rPr>
        <w:t>Steve Song</w:t>
      </w:r>
      <w:r w:rsidRPr="001E1083">
        <w:rPr>
          <w:rFonts w:ascii="Times New Roman" w:hAnsi="Times New Roman" w:cs="Times New Roman"/>
          <w:sz w:val="24"/>
          <w:szCs w:val="24"/>
        </w:rPr>
        <w:t xml:space="preserve">, </w:t>
      </w:r>
      <w:r>
        <w:rPr>
          <w:rFonts w:ascii="Times New Roman" w:hAnsi="Times New Roman" w:cs="Times New Roman"/>
          <w:sz w:val="24"/>
          <w:szCs w:val="24"/>
        </w:rPr>
        <w:t>Ed.D.</w:t>
      </w:r>
      <w:r w:rsidRPr="001E1083">
        <w:rPr>
          <w:rFonts w:ascii="Times New Roman" w:hAnsi="Times New Roman" w:cs="Times New Roman"/>
          <w:sz w:val="24"/>
          <w:szCs w:val="24"/>
        </w:rPr>
        <w:t xml:space="preserve">, Dissertation Chair </w:t>
      </w:r>
    </w:p>
    <w:p w14:paraId="4B60B37D" w14:textId="112B4D3D" w:rsidR="00806BF7" w:rsidRPr="001E1083" w:rsidRDefault="00806BF7" w:rsidP="00BA4A2D">
      <w:pPr>
        <w:widowControl w:val="0"/>
        <w:spacing w:after="0" w:line="480" w:lineRule="auto"/>
        <w:ind w:left="720"/>
        <w:rPr>
          <w:rFonts w:ascii="Times New Roman" w:hAnsi="Times New Roman" w:cs="Times New Roman"/>
          <w:sz w:val="24"/>
          <w:szCs w:val="24"/>
        </w:rPr>
      </w:pPr>
      <w:r>
        <w:rPr>
          <w:rFonts w:ascii="Times New Roman" w:hAnsi="Times New Roman" w:cs="Times New Roman"/>
          <w:sz w:val="24"/>
          <w:szCs w:val="24"/>
        </w:rPr>
        <w:t>John Schwartz</w:t>
      </w:r>
      <w:r w:rsidRPr="001E1083">
        <w:rPr>
          <w:rFonts w:ascii="Times New Roman" w:hAnsi="Times New Roman" w:cs="Times New Roman"/>
          <w:sz w:val="24"/>
          <w:szCs w:val="24"/>
        </w:rPr>
        <w:t xml:space="preserve">, </w:t>
      </w:r>
      <w:r>
        <w:rPr>
          <w:rFonts w:ascii="Times New Roman" w:hAnsi="Times New Roman" w:cs="Times New Roman"/>
          <w:sz w:val="24"/>
          <w:szCs w:val="24"/>
        </w:rPr>
        <w:t>Ph.D.</w:t>
      </w:r>
      <w:r w:rsidRPr="001E1083">
        <w:rPr>
          <w:rFonts w:ascii="Times New Roman" w:hAnsi="Times New Roman" w:cs="Times New Roman"/>
          <w:sz w:val="24"/>
          <w:szCs w:val="24"/>
        </w:rPr>
        <w:t>, Committee Member</w:t>
      </w:r>
    </w:p>
    <w:p w14:paraId="57D297C1" w14:textId="453ED163" w:rsidR="00806BF7" w:rsidRPr="001E1083" w:rsidRDefault="00806BF7" w:rsidP="00BA4A2D">
      <w:pPr>
        <w:widowControl w:val="0"/>
        <w:spacing w:after="0" w:line="480" w:lineRule="auto"/>
        <w:ind w:left="720"/>
        <w:rPr>
          <w:rFonts w:ascii="Times New Roman" w:hAnsi="Times New Roman" w:cs="Times New Roman"/>
          <w:sz w:val="24"/>
          <w:szCs w:val="24"/>
        </w:rPr>
      </w:pPr>
      <w:r>
        <w:rPr>
          <w:rFonts w:ascii="Times New Roman" w:hAnsi="Times New Roman" w:cs="Times New Roman"/>
          <w:sz w:val="24"/>
          <w:szCs w:val="24"/>
        </w:rPr>
        <w:t>Mary Zaharis</w:t>
      </w:r>
      <w:r w:rsidRPr="001E1083">
        <w:rPr>
          <w:rFonts w:ascii="Times New Roman" w:hAnsi="Times New Roman" w:cs="Times New Roman"/>
          <w:sz w:val="24"/>
          <w:szCs w:val="24"/>
        </w:rPr>
        <w:t xml:space="preserve">, </w:t>
      </w:r>
      <w:r>
        <w:rPr>
          <w:rFonts w:ascii="Times New Roman" w:hAnsi="Times New Roman" w:cs="Times New Roman"/>
          <w:sz w:val="24"/>
          <w:szCs w:val="24"/>
        </w:rPr>
        <w:t>Ph.D.</w:t>
      </w:r>
      <w:r w:rsidRPr="001E1083">
        <w:rPr>
          <w:rFonts w:ascii="Times New Roman" w:hAnsi="Times New Roman" w:cs="Times New Roman"/>
          <w:sz w:val="24"/>
          <w:szCs w:val="24"/>
        </w:rPr>
        <w:t>, Committee Member</w:t>
      </w:r>
    </w:p>
    <w:p w14:paraId="45149CAE" w14:textId="77777777" w:rsidR="00806BF7" w:rsidRPr="008D51FC" w:rsidRDefault="00806BF7" w:rsidP="00BA4A2D">
      <w:pPr>
        <w:widowControl w:val="0"/>
        <w:spacing w:after="0" w:line="480" w:lineRule="auto"/>
        <w:rPr>
          <w:rFonts w:ascii="Times New Roman" w:hAnsi="Times New Roman" w:cs="Times New Roman"/>
        </w:rPr>
      </w:pPr>
    </w:p>
    <w:p w14:paraId="42CBA9AF" w14:textId="77777777" w:rsidR="00806BF7" w:rsidRDefault="00806BF7" w:rsidP="00BA4A2D">
      <w:pPr>
        <w:widowControl w:val="0"/>
        <w:spacing w:after="0" w:line="480" w:lineRule="auto"/>
        <w:rPr>
          <w:rFonts w:ascii="Times New Roman" w:hAnsi="Times New Roman" w:cs="Times New Roman"/>
        </w:rPr>
      </w:pPr>
    </w:p>
    <w:p w14:paraId="7F13D677" w14:textId="7322D063" w:rsidR="00BE4607" w:rsidRPr="00157157" w:rsidRDefault="00806BF7" w:rsidP="00BA4A2D">
      <w:pPr>
        <w:widowControl w:val="0"/>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rPr>
        <w:br w:type="page"/>
      </w:r>
      <w:r w:rsidR="00BE4607" w:rsidRPr="00157157">
        <w:rPr>
          <w:rFonts w:ascii="Times New Roman" w:hAnsi="Times New Roman" w:cs="Times New Roman"/>
          <w:b/>
          <w:color w:val="000000" w:themeColor="text1"/>
          <w:sz w:val="24"/>
          <w:szCs w:val="24"/>
        </w:rPr>
        <w:lastRenderedPageBreak/>
        <w:t>Abstract</w:t>
      </w:r>
    </w:p>
    <w:p w14:paraId="11084D74" w14:textId="5D13513C" w:rsidR="002E08B4" w:rsidRDefault="008C7BAD" w:rsidP="00BA4A2D">
      <w:pPr>
        <w:widowControl w:val="0"/>
        <w:spacing w:after="0" w:line="480" w:lineRule="auto"/>
        <w:rPr>
          <w:rFonts w:ascii="Times New Roman" w:hAnsi="Times New Roman" w:cs="Times New Roman"/>
          <w:sz w:val="24"/>
          <w:szCs w:val="24"/>
        </w:rPr>
      </w:pPr>
      <w:r w:rsidRPr="00DA769F">
        <w:rPr>
          <w:rFonts w:ascii="Times New Roman" w:hAnsi="Times New Roman" w:cs="Times New Roman"/>
          <w:sz w:val="24"/>
          <w:szCs w:val="24"/>
        </w:rPr>
        <w:t xml:space="preserve">This </w:t>
      </w:r>
      <w:r w:rsidR="00512FC1" w:rsidRPr="00DA769F">
        <w:rPr>
          <w:rFonts w:ascii="Times New Roman" w:hAnsi="Times New Roman" w:cs="Times New Roman"/>
          <w:sz w:val="24"/>
          <w:szCs w:val="24"/>
        </w:rPr>
        <w:t>quantitative</w:t>
      </w:r>
      <w:r w:rsidRPr="00DA769F">
        <w:rPr>
          <w:rFonts w:ascii="Times New Roman" w:hAnsi="Times New Roman" w:cs="Times New Roman"/>
          <w:sz w:val="24"/>
          <w:szCs w:val="24"/>
        </w:rPr>
        <w:t xml:space="preserve"> </w:t>
      </w:r>
      <w:r w:rsidR="00DA34F1">
        <w:rPr>
          <w:rFonts w:ascii="Times New Roman" w:hAnsi="Times New Roman" w:cs="Times New Roman"/>
          <w:sz w:val="24"/>
          <w:szCs w:val="24"/>
        </w:rPr>
        <w:t xml:space="preserve">study </w:t>
      </w:r>
      <w:r w:rsidR="00754571">
        <w:rPr>
          <w:rFonts w:ascii="Times New Roman" w:hAnsi="Times New Roman" w:cs="Times New Roman"/>
          <w:sz w:val="24"/>
          <w:szCs w:val="24"/>
        </w:rPr>
        <w:t>sought</w:t>
      </w:r>
      <w:r w:rsidR="00754571" w:rsidRPr="00DA769F">
        <w:rPr>
          <w:rFonts w:ascii="Times New Roman" w:hAnsi="Times New Roman" w:cs="Times New Roman"/>
          <w:sz w:val="24"/>
          <w:szCs w:val="24"/>
        </w:rPr>
        <w:t xml:space="preserve"> </w:t>
      </w:r>
      <w:r w:rsidRPr="00DA769F">
        <w:rPr>
          <w:rFonts w:ascii="Times New Roman" w:hAnsi="Times New Roman" w:cs="Times New Roman"/>
          <w:sz w:val="24"/>
          <w:szCs w:val="24"/>
        </w:rPr>
        <w:t xml:space="preserve">to </w:t>
      </w:r>
      <w:r w:rsidR="00512FC1" w:rsidRPr="00DA769F">
        <w:rPr>
          <w:rFonts w:ascii="Times New Roman" w:hAnsi="Times New Roman" w:cs="Times New Roman"/>
          <w:sz w:val="24"/>
          <w:szCs w:val="24"/>
        </w:rPr>
        <w:t xml:space="preserve">examine </w:t>
      </w:r>
      <w:r w:rsidR="005E196B">
        <w:rPr>
          <w:rFonts w:ascii="Times New Roman" w:hAnsi="Times New Roman" w:cs="Times New Roman"/>
          <w:sz w:val="24"/>
          <w:szCs w:val="24"/>
        </w:rPr>
        <w:t>the role of</w:t>
      </w:r>
      <w:r w:rsidRPr="00DA769F">
        <w:rPr>
          <w:rFonts w:ascii="Times New Roman" w:hAnsi="Times New Roman" w:cs="Times New Roman"/>
          <w:sz w:val="24"/>
          <w:szCs w:val="24"/>
        </w:rPr>
        <w:t xml:space="preserve"> self-efficacy on the enrollment decisions made by women</w:t>
      </w:r>
      <w:r w:rsidR="00512FC1" w:rsidRPr="00DA769F">
        <w:rPr>
          <w:rFonts w:ascii="Times New Roman" w:hAnsi="Times New Roman" w:cs="Times New Roman"/>
          <w:sz w:val="24"/>
          <w:szCs w:val="24"/>
        </w:rPr>
        <w:t xml:space="preserve"> for a second year of high school physics</w:t>
      </w:r>
      <w:r w:rsidRPr="00DA769F">
        <w:rPr>
          <w:rFonts w:ascii="Times New Roman" w:hAnsi="Times New Roman" w:cs="Times New Roman"/>
          <w:sz w:val="24"/>
          <w:szCs w:val="24"/>
        </w:rPr>
        <w:t xml:space="preserve">. Not enough information is known about why there is a significant </w:t>
      </w:r>
      <w:r w:rsidR="00036FB8" w:rsidRPr="00DA769F">
        <w:rPr>
          <w:rFonts w:ascii="Times New Roman" w:hAnsi="Times New Roman" w:cs="Times New Roman"/>
          <w:sz w:val="24"/>
          <w:szCs w:val="24"/>
        </w:rPr>
        <w:t xml:space="preserve">decrease in the proportion </w:t>
      </w:r>
      <w:r w:rsidRPr="00DA769F">
        <w:rPr>
          <w:rFonts w:ascii="Times New Roman" w:hAnsi="Times New Roman" w:cs="Times New Roman"/>
          <w:sz w:val="24"/>
          <w:szCs w:val="24"/>
        </w:rPr>
        <w:t xml:space="preserve">of women in </w:t>
      </w:r>
      <w:r w:rsidR="00512FC1" w:rsidRPr="00DA769F">
        <w:rPr>
          <w:rFonts w:ascii="Times New Roman" w:hAnsi="Times New Roman" w:cs="Times New Roman"/>
          <w:sz w:val="24"/>
          <w:szCs w:val="24"/>
        </w:rPr>
        <w:t xml:space="preserve">second year </w:t>
      </w:r>
      <w:r w:rsidRPr="00DA769F">
        <w:rPr>
          <w:rFonts w:ascii="Times New Roman" w:hAnsi="Times New Roman" w:cs="Times New Roman"/>
          <w:sz w:val="24"/>
          <w:szCs w:val="24"/>
        </w:rPr>
        <w:t xml:space="preserve">high school physics programs after their introductory year. This study </w:t>
      </w:r>
      <w:r w:rsidR="00754571">
        <w:rPr>
          <w:rFonts w:ascii="Times New Roman" w:hAnsi="Times New Roman" w:cs="Times New Roman"/>
          <w:sz w:val="24"/>
          <w:szCs w:val="24"/>
        </w:rPr>
        <w:t>took</w:t>
      </w:r>
      <w:r w:rsidR="00754571" w:rsidRPr="00DA769F">
        <w:rPr>
          <w:rFonts w:ascii="Times New Roman" w:hAnsi="Times New Roman" w:cs="Times New Roman"/>
          <w:sz w:val="24"/>
          <w:szCs w:val="24"/>
        </w:rPr>
        <w:t xml:space="preserve"> </w:t>
      </w:r>
      <w:r w:rsidRPr="00DA769F">
        <w:rPr>
          <w:rFonts w:ascii="Times New Roman" w:hAnsi="Times New Roman" w:cs="Times New Roman"/>
          <w:sz w:val="24"/>
          <w:szCs w:val="24"/>
        </w:rPr>
        <w:t>place in a suburban Midwestern high school.</w:t>
      </w:r>
      <w:r w:rsidR="00AB6448">
        <w:rPr>
          <w:rFonts w:ascii="Times New Roman" w:hAnsi="Times New Roman" w:cs="Times New Roman"/>
          <w:sz w:val="24"/>
          <w:szCs w:val="24"/>
        </w:rPr>
        <w:t xml:space="preserve"> After screening for outlier data, l</w:t>
      </w:r>
      <w:r w:rsidR="007662FB">
        <w:rPr>
          <w:rFonts w:ascii="Times New Roman" w:hAnsi="Times New Roman" w:cs="Times New Roman"/>
          <w:sz w:val="24"/>
          <w:szCs w:val="24"/>
        </w:rPr>
        <w:t>ogistic regression was used to develop three predictive models on enrollment</w:t>
      </w:r>
      <w:r w:rsidR="00AB6448">
        <w:rPr>
          <w:rFonts w:ascii="Times New Roman" w:hAnsi="Times New Roman" w:cs="Times New Roman"/>
          <w:sz w:val="24"/>
          <w:szCs w:val="24"/>
        </w:rPr>
        <w:t xml:space="preserve"> </w:t>
      </w:r>
      <w:r w:rsidR="000C27DC">
        <w:rPr>
          <w:rFonts w:ascii="Times New Roman" w:hAnsi="Times New Roman" w:cs="Times New Roman"/>
          <w:sz w:val="24"/>
          <w:szCs w:val="24"/>
        </w:rPr>
        <w:t>decision. This</w:t>
      </w:r>
      <w:r w:rsidR="002E08B4">
        <w:rPr>
          <w:rFonts w:ascii="Times New Roman" w:hAnsi="Times New Roman" w:cs="Times New Roman"/>
          <w:sz w:val="24"/>
          <w:szCs w:val="24"/>
        </w:rPr>
        <w:t xml:space="preserve"> study showed that only level of self-efficacy due to mastery experiences is a statistically significant predictor of second year high school </w:t>
      </w:r>
      <w:r w:rsidR="00CB5581">
        <w:rPr>
          <w:rFonts w:ascii="Times New Roman" w:hAnsi="Times New Roman" w:cs="Times New Roman"/>
          <w:sz w:val="24"/>
          <w:szCs w:val="24"/>
        </w:rPr>
        <w:t xml:space="preserve">physics </w:t>
      </w:r>
      <w:r w:rsidR="002E08B4">
        <w:rPr>
          <w:rFonts w:ascii="Times New Roman" w:hAnsi="Times New Roman" w:cs="Times New Roman"/>
          <w:sz w:val="24"/>
          <w:szCs w:val="24"/>
        </w:rPr>
        <w:t xml:space="preserve">enrollment among </w:t>
      </w:r>
      <w:r w:rsidR="00E46FB4">
        <w:rPr>
          <w:rFonts w:ascii="Times New Roman" w:hAnsi="Times New Roman" w:cs="Times New Roman"/>
          <w:sz w:val="24"/>
          <w:szCs w:val="24"/>
        </w:rPr>
        <w:t>both men and women</w:t>
      </w:r>
      <w:r w:rsidR="002E08B4">
        <w:rPr>
          <w:rFonts w:ascii="Times New Roman" w:hAnsi="Times New Roman" w:cs="Times New Roman"/>
          <w:sz w:val="24"/>
          <w:szCs w:val="24"/>
        </w:rPr>
        <w:t xml:space="preserve">. This </w:t>
      </w:r>
      <w:r w:rsidR="00CB5581">
        <w:rPr>
          <w:rFonts w:ascii="Times New Roman" w:hAnsi="Times New Roman" w:cs="Times New Roman"/>
          <w:sz w:val="24"/>
          <w:szCs w:val="24"/>
        </w:rPr>
        <w:t xml:space="preserve">result </w:t>
      </w:r>
      <w:r w:rsidR="002E08B4">
        <w:rPr>
          <w:rFonts w:ascii="Times New Roman" w:hAnsi="Times New Roman" w:cs="Times New Roman"/>
          <w:sz w:val="24"/>
          <w:szCs w:val="24"/>
        </w:rPr>
        <w:t xml:space="preserve">was due </w:t>
      </w:r>
      <w:r w:rsidR="000C27DC">
        <w:rPr>
          <w:rFonts w:ascii="Times New Roman" w:hAnsi="Times New Roman" w:cs="Times New Roman"/>
          <w:sz w:val="24"/>
          <w:szCs w:val="24"/>
        </w:rPr>
        <w:t>solely</w:t>
      </w:r>
      <w:r w:rsidR="002E08B4">
        <w:rPr>
          <w:rFonts w:ascii="Times New Roman" w:hAnsi="Times New Roman" w:cs="Times New Roman"/>
          <w:sz w:val="24"/>
          <w:szCs w:val="24"/>
        </w:rPr>
        <w:t xml:space="preserve"> to the </w:t>
      </w:r>
      <w:r w:rsidR="00AB6448">
        <w:rPr>
          <w:rFonts w:ascii="Times New Roman" w:hAnsi="Times New Roman" w:cs="Times New Roman"/>
          <w:sz w:val="24"/>
          <w:szCs w:val="24"/>
        </w:rPr>
        <w:t xml:space="preserve">significance </w:t>
      </w:r>
      <w:r w:rsidR="002E08B4">
        <w:rPr>
          <w:rFonts w:ascii="Times New Roman" w:hAnsi="Times New Roman" w:cs="Times New Roman"/>
          <w:sz w:val="24"/>
          <w:szCs w:val="24"/>
        </w:rPr>
        <w:t xml:space="preserve">mastery experiences plays for women. Based on the results, teachers </w:t>
      </w:r>
      <w:r w:rsidR="00DD03C5">
        <w:rPr>
          <w:rFonts w:ascii="Times New Roman" w:hAnsi="Times New Roman" w:cs="Times New Roman"/>
          <w:sz w:val="24"/>
          <w:szCs w:val="24"/>
        </w:rPr>
        <w:t>and scholars</w:t>
      </w:r>
      <w:r w:rsidR="002E08B4">
        <w:rPr>
          <w:rFonts w:ascii="Times New Roman" w:hAnsi="Times New Roman" w:cs="Times New Roman"/>
          <w:sz w:val="24"/>
          <w:szCs w:val="24"/>
        </w:rPr>
        <w:t xml:space="preserve"> </w:t>
      </w:r>
      <w:r w:rsidR="00DD03C5">
        <w:rPr>
          <w:rFonts w:ascii="Times New Roman" w:hAnsi="Times New Roman" w:cs="Times New Roman"/>
          <w:sz w:val="24"/>
          <w:szCs w:val="24"/>
        </w:rPr>
        <w:t>could focus more on the</w:t>
      </w:r>
      <w:r w:rsidR="002E08B4">
        <w:rPr>
          <w:rFonts w:ascii="Times New Roman" w:hAnsi="Times New Roman" w:cs="Times New Roman"/>
          <w:sz w:val="24"/>
          <w:szCs w:val="24"/>
        </w:rPr>
        <w:t xml:space="preserve"> number and quality of mastery experience opportunities in the classroom</w:t>
      </w:r>
      <w:r w:rsidR="00DD03C5">
        <w:rPr>
          <w:rFonts w:ascii="Times New Roman" w:hAnsi="Times New Roman" w:cs="Times New Roman"/>
          <w:sz w:val="24"/>
          <w:szCs w:val="24"/>
        </w:rPr>
        <w:t xml:space="preserve"> for </w:t>
      </w:r>
      <w:r w:rsidR="00D64715">
        <w:rPr>
          <w:rFonts w:ascii="Times New Roman" w:hAnsi="Times New Roman" w:cs="Times New Roman"/>
          <w:sz w:val="24"/>
          <w:szCs w:val="24"/>
        </w:rPr>
        <w:t>women</w:t>
      </w:r>
      <w:r w:rsidR="00DD03C5">
        <w:rPr>
          <w:rFonts w:ascii="Times New Roman" w:hAnsi="Times New Roman" w:cs="Times New Roman"/>
          <w:sz w:val="24"/>
          <w:szCs w:val="24"/>
        </w:rPr>
        <w:t xml:space="preserve"> in courses like physics and possibly other STEM courses</w:t>
      </w:r>
      <w:r w:rsidR="002E08B4">
        <w:rPr>
          <w:rFonts w:ascii="Times New Roman" w:hAnsi="Times New Roman" w:cs="Times New Roman"/>
          <w:sz w:val="24"/>
          <w:szCs w:val="24"/>
        </w:rPr>
        <w:t xml:space="preserve">. </w:t>
      </w:r>
    </w:p>
    <w:p w14:paraId="1E6BD2FB" w14:textId="06F80088" w:rsidR="00BE4607" w:rsidRDefault="000943B8" w:rsidP="00BA4A2D">
      <w:pPr>
        <w:widowControl w:val="0"/>
        <w:spacing w:after="0" w:line="480" w:lineRule="auto"/>
        <w:ind w:firstLine="720"/>
        <w:rPr>
          <w:rFonts w:ascii="Times New Roman" w:hAnsi="Times New Roman" w:cs="Times New Roman"/>
          <w:color w:val="000000" w:themeColor="text1"/>
          <w:sz w:val="24"/>
          <w:szCs w:val="24"/>
        </w:rPr>
      </w:pPr>
      <w:r w:rsidRPr="00BA4A2D">
        <w:rPr>
          <w:rFonts w:ascii="Times New Roman" w:hAnsi="Times New Roman" w:cs="Times New Roman"/>
          <w:i/>
          <w:iCs/>
          <w:color w:val="000000" w:themeColor="text1"/>
          <w:sz w:val="24"/>
          <w:szCs w:val="24"/>
        </w:rPr>
        <w:t>Keywords</w:t>
      </w:r>
      <w:r>
        <w:rPr>
          <w:rFonts w:ascii="Times New Roman" w:hAnsi="Times New Roman" w:cs="Times New Roman"/>
          <w:color w:val="000000" w:themeColor="text1"/>
          <w:sz w:val="24"/>
          <w:szCs w:val="24"/>
        </w:rPr>
        <w:t>: women, high school, physics, self-efficacy</w:t>
      </w:r>
    </w:p>
    <w:p w14:paraId="0E833D15" w14:textId="6F795C49" w:rsidR="00647579" w:rsidRDefault="00647579" w:rsidP="00BA4A2D">
      <w:pPr>
        <w:widowControl w:val="0"/>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53948E8C" w14:textId="77777777" w:rsidR="003F7FE4" w:rsidRDefault="003F7FE4" w:rsidP="000943B8">
      <w:pPr>
        <w:widowControl w:val="0"/>
        <w:spacing w:after="0" w:line="480" w:lineRule="auto"/>
        <w:jc w:val="center"/>
        <w:rPr>
          <w:rFonts w:ascii="Times New Roman" w:hAnsi="Times New Roman" w:cs="Times New Roman"/>
          <w:b/>
          <w:color w:val="000000" w:themeColor="text1"/>
          <w:sz w:val="24"/>
          <w:szCs w:val="24"/>
        </w:rPr>
        <w:sectPr w:rsidR="003F7FE4" w:rsidSect="00BE4607">
          <w:footerReference w:type="default" r:id="rId8"/>
          <w:pgSz w:w="12240" w:h="15840"/>
          <w:pgMar w:top="1440" w:right="1440" w:bottom="1440" w:left="1440" w:header="720" w:footer="720" w:gutter="0"/>
          <w:pgNumType w:fmt="lowerRoman"/>
          <w:cols w:space="720"/>
          <w:docGrid w:linePitch="360"/>
        </w:sectPr>
      </w:pPr>
    </w:p>
    <w:p w14:paraId="1DD659F4" w14:textId="096C1C1C" w:rsidR="00647579" w:rsidRDefault="00647579" w:rsidP="00BA4A2D">
      <w:pPr>
        <w:widowControl w:val="0"/>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Dedication</w:t>
      </w:r>
    </w:p>
    <w:p w14:paraId="137F24FB" w14:textId="4DA6B4C2" w:rsidR="00647579" w:rsidRDefault="00F83E6B" w:rsidP="00BA4A2D">
      <w:pPr>
        <w:widowControl w:val="0"/>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dissertation is dedicated to my children</w:t>
      </w:r>
      <w:r w:rsidR="00CB558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Andrew and Benjamin.</w:t>
      </w:r>
      <w:r w:rsidR="002030A1">
        <w:rPr>
          <w:rFonts w:ascii="Times New Roman" w:hAnsi="Times New Roman" w:cs="Times New Roman"/>
          <w:color w:val="000000" w:themeColor="text1"/>
          <w:sz w:val="24"/>
          <w:szCs w:val="24"/>
        </w:rPr>
        <w:t xml:space="preserve"> Never stop challenging yourself and believing in what you can accomplish even when it seems too difficult.</w:t>
      </w:r>
      <w:r w:rsidR="0084753F">
        <w:rPr>
          <w:rFonts w:ascii="Times New Roman" w:hAnsi="Times New Roman" w:cs="Times New Roman"/>
          <w:color w:val="000000" w:themeColor="text1"/>
          <w:sz w:val="24"/>
          <w:szCs w:val="24"/>
        </w:rPr>
        <w:t xml:space="preserve"> You too have the strength and ability to surpass your own expectations.</w:t>
      </w:r>
    </w:p>
    <w:p w14:paraId="1E8C6BC5" w14:textId="0D2DCCEB" w:rsidR="00647579" w:rsidRDefault="00647579" w:rsidP="00BA4A2D">
      <w:pPr>
        <w:widowControl w:val="0"/>
        <w:spacing w:after="0" w:line="480" w:lineRule="auto"/>
        <w:rPr>
          <w:rFonts w:ascii="Times New Roman" w:hAnsi="Times New Roman" w:cs="Times New Roman"/>
          <w:color w:val="000000" w:themeColor="text1"/>
          <w:sz w:val="24"/>
          <w:szCs w:val="24"/>
        </w:rPr>
      </w:pPr>
    </w:p>
    <w:p w14:paraId="311B1349" w14:textId="6D80D823" w:rsidR="00647579" w:rsidRDefault="00647579" w:rsidP="00BA4A2D">
      <w:pPr>
        <w:widowControl w:val="0"/>
        <w:spacing w:after="0" w:line="480" w:lineRule="auto"/>
        <w:rPr>
          <w:rFonts w:ascii="Times New Roman" w:hAnsi="Times New Roman" w:cs="Times New Roman"/>
          <w:color w:val="000000" w:themeColor="text1"/>
          <w:sz w:val="24"/>
          <w:szCs w:val="24"/>
        </w:rPr>
      </w:pPr>
    </w:p>
    <w:p w14:paraId="02F0A709" w14:textId="35374223" w:rsidR="00647579" w:rsidRDefault="00647579" w:rsidP="00BA4A2D">
      <w:pPr>
        <w:widowControl w:val="0"/>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23F0FC4D" w14:textId="6FAE2CE0" w:rsidR="00647579" w:rsidRDefault="00647579" w:rsidP="00BA4A2D">
      <w:pPr>
        <w:widowControl w:val="0"/>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Acknowledgements</w:t>
      </w:r>
    </w:p>
    <w:p w14:paraId="10B6718F" w14:textId="1A48088F" w:rsidR="00647579" w:rsidRDefault="002030A1" w:rsidP="00BA4A2D">
      <w:pPr>
        <w:widowControl w:val="0"/>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There are many people I need to recognize for their contributions to this winding journey I have undertaken. </w:t>
      </w:r>
      <w:r w:rsidR="00871092">
        <w:rPr>
          <w:rFonts w:ascii="Times New Roman" w:hAnsi="Times New Roman" w:cs="Times New Roman"/>
          <w:color w:val="000000" w:themeColor="text1"/>
          <w:sz w:val="24"/>
          <w:szCs w:val="24"/>
        </w:rPr>
        <w:t>Dr. Amada Mulcahy, Dr. Michelle Morkert, and Dr. Daniel Tomal were</w:t>
      </w:r>
      <w:r>
        <w:rPr>
          <w:rFonts w:ascii="Times New Roman" w:hAnsi="Times New Roman" w:cs="Times New Roman"/>
          <w:color w:val="000000" w:themeColor="text1"/>
          <w:sz w:val="24"/>
          <w:szCs w:val="24"/>
        </w:rPr>
        <w:t xml:space="preserve"> instrumental at the beginning </w:t>
      </w:r>
      <w:r w:rsidR="00853F53">
        <w:rPr>
          <w:rFonts w:ascii="Times New Roman" w:hAnsi="Times New Roman" w:cs="Times New Roman"/>
          <w:color w:val="000000" w:themeColor="text1"/>
          <w:sz w:val="24"/>
          <w:szCs w:val="24"/>
        </w:rPr>
        <w:t xml:space="preserve">with </w:t>
      </w:r>
      <w:r>
        <w:rPr>
          <w:rFonts w:ascii="Times New Roman" w:hAnsi="Times New Roman" w:cs="Times New Roman"/>
          <w:color w:val="000000" w:themeColor="text1"/>
          <w:sz w:val="24"/>
          <w:szCs w:val="24"/>
        </w:rPr>
        <w:t xml:space="preserve">formation of my dissertation topic. </w:t>
      </w:r>
      <w:r w:rsidR="00BC42D6">
        <w:rPr>
          <w:rFonts w:ascii="Times New Roman" w:hAnsi="Times New Roman" w:cs="Times New Roman"/>
          <w:color w:val="000000" w:themeColor="text1"/>
          <w:sz w:val="24"/>
          <w:szCs w:val="24"/>
        </w:rPr>
        <w:t xml:space="preserve">Your </w:t>
      </w:r>
      <w:r w:rsidR="00871092">
        <w:rPr>
          <w:rFonts w:ascii="Times New Roman" w:hAnsi="Times New Roman" w:cs="Times New Roman"/>
          <w:color w:val="000000" w:themeColor="text1"/>
          <w:sz w:val="24"/>
          <w:szCs w:val="24"/>
        </w:rPr>
        <w:t>leadership and guidance laid the foundation for what would become my final dissertation. The impacts of the pandemic were far reaching and affected both students and faculty at Concordia University. Thank you</w:t>
      </w:r>
      <w:r w:rsidR="00F26E16">
        <w:rPr>
          <w:rFonts w:ascii="Times New Roman" w:hAnsi="Times New Roman" w:cs="Times New Roman"/>
          <w:color w:val="000000" w:themeColor="text1"/>
          <w:sz w:val="24"/>
          <w:szCs w:val="24"/>
        </w:rPr>
        <w:t>,</w:t>
      </w:r>
      <w:r w:rsidR="00871092">
        <w:rPr>
          <w:rFonts w:ascii="Times New Roman" w:hAnsi="Times New Roman" w:cs="Times New Roman"/>
          <w:color w:val="000000" w:themeColor="text1"/>
          <w:sz w:val="24"/>
          <w:szCs w:val="24"/>
        </w:rPr>
        <w:t xml:space="preserve"> Dr. Mulcahy</w:t>
      </w:r>
      <w:r w:rsidR="00F26E16">
        <w:rPr>
          <w:rFonts w:ascii="Times New Roman" w:hAnsi="Times New Roman" w:cs="Times New Roman"/>
          <w:color w:val="000000" w:themeColor="text1"/>
          <w:sz w:val="24"/>
          <w:szCs w:val="24"/>
        </w:rPr>
        <w:t>,</w:t>
      </w:r>
      <w:r w:rsidR="00871092">
        <w:rPr>
          <w:rFonts w:ascii="Times New Roman" w:hAnsi="Times New Roman" w:cs="Times New Roman"/>
          <w:color w:val="000000" w:themeColor="text1"/>
          <w:sz w:val="24"/>
          <w:szCs w:val="24"/>
        </w:rPr>
        <w:t xml:space="preserve"> for your assistance </w:t>
      </w:r>
      <w:r w:rsidR="00853F53">
        <w:rPr>
          <w:rFonts w:ascii="Times New Roman" w:hAnsi="Times New Roman" w:cs="Times New Roman"/>
          <w:color w:val="000000" w:themeColor="text1"/>
          <w:sz w:val="24"/>
          <w:szCs w:val="24"/>
        </w:rPr>
        <w:t>in fostering</w:t>
      </w:r>
      <w:r w:rsidR="00871092">
        <w:rPr>
          <w:rFonts w:ascii="Times New Roman" w:hAnsi="Times New Roman" w:cs="Times New Roman"/>
          <w:color w:val="000000" w:themeColor="text1"/>
          <w:sz w:val="24"/>
          <w:szCs w:val="24"/>
        </w:rPr>
        <w:t xml:space="preserve"> continuance of my research in the post-pandemic academic setting with another set of motivating committee members.</w:t>
      </w:r>
    </w:p>
    <w:p w14:paraId="6EBA3C32" w14:textId="6157FF4B" w:rsidR="00871092" w:rsidRPr="001B7A89" w:rsidRDefault="00871092" w:rsidP="00BA4A2D">
      <w:pPr>
        <w:widowControl w:val="0"/>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1B137A">
        <w:rPr>
          <w:rFonts w:ascii="Times New Roman" w:hAnsi="Times New Roman" w:cs="Times New Roman"/>
          <w:color w:val="000000" w:themeColor="text1"/>
          <w:sz w:val="24"/>
          <w:szCs w:val="24"/>
        </w:rPr>
        <w:t xml:space="preserve">This dissertation evolved </w:t>
      </w:r>
      <w:r w:rsidR="003925CF">
        <w:rPr>
          <w:rFonts w:ascii="Times New Roman" w:hAnsi="Times New Roman" w:cs="Times New Roman"/>
          <w:color w:val="000000" w:themeColor="text1"/>
          <w:sz w:val="24"/>
          <w:szCs w:val="24"/>
        </w:rPr>
        <w:t xml:space="preserve">and reached its culmination </w:t>
      </w:r>
      <w:r w:rsidR="001B137A">
        <w:rPr>
          <w:rFonts w:ascii="Times New Roman" w:hAnsi="Times New Roman" w:cs="Times New Roman"/>
          <w:color w:val="000000" w:themeColor="text1"/>
          <w:sz w:val="24"/>
          <w:szCs w:val="24"/>
        </w:rPr>
        <w:t xml:space="preserve">under the guidance of Dr. Steve Song, Dr. Mary Zaharis, and Dr. John Schwartz. </w:t>
      </w:r>
      <w:r w:rsidR="003925CF">
        <w:rPr>
          <w:rFonts w:ascii="Times New Roman" w:hAnsi="Times New Roman" w:cs="Times New Roman"/>
          <w:color w:val="000000" w:themeColor="text1"/>
          <w:sz w:val="24"/>
          <w:szCs w:val="24"/>
        </w:rPr>
        <w:t>Thank you</w:t>
      </w:r>
      <w:r w:rsidR="00F26E16">
        <w:rPr>
          <w:rFonts w:ascii="Times New Roman" w:hAnsi="Times New Roman" w:cs="Times New Roman"/>
          <w:color w:val="000000" w:themeColor="text1"/>
          <w:sz w:val="24"/>
          <w:szCs w:val="24"/>
        </w:rPr>
        <w:t>,</w:t>
      </w:r>
      <w:r w:rsidR="003925CF">
        <w:rPr>
          <w:rFonts w:ascii="Times New Roman" w:hAnsi="Times New Roman" w:cs="Times New Roman"/>
          <w:color w:val="000000" w:themeColor="text1"/>
          <w:sz w:val="24"/>
          <w:szCs w:val="24"/>
        </w:rPr>
        <w:t xml:space="preserve"> Dr. Zaharis</w:t>
      </w:r>
      <w:r w:rsidR="00F26E16">
        <w:rPr>
          <w:rFonts w:ascii="Times New Roman" w:hAnsi="Times New Roman" w:cs="Times New Roman"/>
          <w:color w:val="000000" w:themeColor="text1"/>
          <w:sz w:val="24"/>
          <w:szCs w:val="24"/>
        </w:rPr>
        <w:t>,</w:t>
      </w:r>
      <w:r w:rsidR="003925CF">
        <w:rPr>
          <w:rFonts w:ascii="Times New Roman" w:hAnsi="Times New Roman" w:cs="Times New Roman"/>
          <w:color w:val="000000" w:themeColor="text1"/>
          <w:sz w:val="24"/>
          <w:szCs w:val="24"/>
        </w:rPr>
        <w:t xml:space="preserve"> for pushing me to grow as a writer. </w:t>
      </w:r>
      <w:r w:rsidR="00853F53">
        <w:rPr>
          <w:rFonts w:ascii="Times New Roman" w:hAnsi="Times New Roman" w:cs="Times New Roman"/>
          <w:color w:val="000000" w:themeColor="text1"/>
          <w:sz w:val="24"/>
          <w:szCs w:val="24"/>
        </w:rPr>
        <w:t xml:space="preserve">Writing </w:t>
      </w:r>
      <w:r w:rsidR="003925CF">
        <w:rPr>
          <w:rFonts w:ascii="Times New Roman" w:hAnsi="Times New Roman" w:cs="Times New Roman"/>
          <w:color w:val="000000" w:themeColor="text1"/>
          <w:sz w:val="24"/>
          <w:szCs w:val="24"/>
        </w:rPr>
        <w:t xml:space="preserve">has never been a </w:t>
      </w:r>
      <w:r w:rsidR="00853F53">
        <w:rPr>
          <w:rFonts w:ascii="Times New Roman" w:hAnsi="Times New Roman" w:cs="Times New Roman"/>
          <w:color w:val="000000" w:themeColor="text1"/>
          <w:sz w:val="24"/>
          <w:szCs w:val="24"/>
        </w:rPr>
        <w:t>str</w:t>
      </w:r>
      <w:r w:rsidR="00853F53" w:rsidRPr="001B7A89">
        <w:rPr>
          <w:rFonts w:ascii="Times New Roman" w:hAnsi="Times New Roman" w:cs="Times New Roman"/>
          <w:color w:val="000000" w:themeColor="text1"/>
          <w:sz w:val="24"/>
          <w:szCs w:val="24"/>
        </w:rPr>
        <w:t xml:space="preserve">ength </w:t>
      </w:r>
      <w:r w:rsidR="003925CF" w:rsidRPr="001B7A89">
        <w:rPr>
          <w:rFonts w:ascii="Times New Roman" w:hAnsi="Times New Roman" w:cs="Times New Roman"/>
          <w:color w:val="000000" w:themeColor="text1"/>
          <w:sz w:val="24"/>
          <w:szCs w:val="24"/>
        </w:rPr>
        <w:t>for me and is certainly a factor in why I chose to teach science as a career. Thank you</w:t>
      </w:r>
      <w:r w:rsidR="00F26E16" w:rsidRPr="001B7A89">
        <w:rPr>
          <w:rFonts w:ascii="Times New Roman" w:hAnsi="Times New Roman" w:cs="Times New Roman"/>
          <w:color w:val="000000" w:themeColor="text1"/>
          <w:sz w:val="24"/>
          <w:szCs w:val="24"/>
        </w:rPr>
        <w:t>,</w:t>
      </w:r>
      <w:r w:rsidR="003925CF" w:rsidRPr="001B7A89">
        <w:rPr>
          <w:rFonts w:ascii="Times New Roman" w:hAnsi="Times New Roman" w:cs="Times New Roman"/>
          <w:color w:val="000000" w:themeColor="text1"/>
          <w:sz w:val="24"/>
          <w:szCs w:val="24"/>
        </w:rPr>
        <w:t xml:space="preserve"> Dr. Schwartz</w:t>
      </w:r>
      <w:r w:rsidR="00F26E16" w:rsidRPr="001B7A89">
        <w:rPr>
          <w:rFonts w:ascii="Times New Roman" w:hAnsi="Times New Roman" w:cs="Times New Roman"/>
          <w:color w:val="000000" w:themeColor="text1"/>
          <w:sz w:val="24"/>
          <w:szCs w:val="24"/>
        </w:rPr>
        <w:t>,</w:t>
      </w:r>
      <w:r w:rsidR="003925CF" w:rsidRPr="001B7A89">
        <w:rPr>
          <w:rFonts w:ascii="Times New Roman" w:hAnsi="Times New Roman" w:cs="Times New Roman"/>
          <w:color w:val="000000" w:themeColor="text1"/>
          <w:sz w:val="24"/>
          <w:szCs w:val="24"/>
        </w:rPr>
        <w:t xml:space="preserve"> for helping me learn about research methodology and </w:t>
      </w:r>
      <w:r w:rsidR="00853F53" w:rsidRPr="001B7A89">
        <w:rPr>
          <w:rFonts w:ascii="Times New Roman" w:hAnsi="Times New Roman" w:cs="Times New Roman"/>
          <w:color w:val="000000" w:themeColor="text1"/>
          <w:sz w:val="24"/>
          <w:szCs w:val="24"/>
        </w:rPr>
        <w:t xml:space="preserve">how </w:t>
      </w:r>
      <w:r w:rsidR="003925CF" w:rsidRPr="001B7A89">
        <w:rPr>
          <w:rFonts w:ascii="Times New Roman" w:hAnsi="Times New Roman" w:cs="Times New Roman"/>
          <w:color w:val="000000" w:themeColor="text1"/>
          <w:sz w:val="24"/>
          <w:szCs w:val="24"/>
        </w:rPr>
        <w:t xml:space="preserve">careful attention to detail </w:t>
      </w:r>
      <w:r w:rsidR="00853F53" w:rsidRPr="001B7A89">
        <w:rPr>
          <w:rFonts w:ascii="Times New Roman" w:hAnsi="Times New Roman" w:cs="Times New Roman"/>
          <w:color w:val="000000" w:themeColor="text1"/>
          <w:sz w:val="24"/>
          <w:szCs w:val="24"/>
        </w:rPr>
        <w:t xml:space="preserve">is </w:t>
      </w:r>
      <w:r w:rsidR="003925CF" w:rsidRPr="001B7A89">
        <w:rPr>
          <w:rFonts w:ascii="Times New Roman" w:hAnsi="Times New Roman" w:cs="Times New Roman"/>
          <w:color w:val="000000" w:themeColor="text1"/>
          <w:sz w:val="24"/>
          <w:szCs w:val="24"/>
        </w:rPr>
        <w:t xml:space="preserve">necessary to draw </w:t>
      </w:r>
      <w:r w:rsidR="00853F53" w:rsidRPr="001B7A89">
        <w:rPr>
          <w:rFonts w:ascii="Times New Roman" w:hAnsi="Times New Roman" w:cs="Times New Roman"/>
          <w:color w:val="000000" w:themeColor="text1"/>
          <w:sz w:val="24"/>
          <w:szCs w:val="24"/>
        </w:rPr>
        <w:t xml:space="preserve">strong </w:t>
      </w:r>
      <w:r w:rsidR="003925CF" w:rsidRPr="001B7A89">
        <w:rPr>
          <w:rFonts w:ascii="Times New Roman" w:hAnsi="Times New Roman" w:cs="Times New Roman"/>
          <w:color w:val="000000" w:themeColor="text1"/>
          <w:sz w:val="24"/>
          <w:szCs w:val="24"/>
        </w:rPr>
        <w:t>quantitative conclusions. Thank you</w:t>
      </w:r>
      <w:r w:rsidR="00F26E16" w:rsidRPr="001B7A89">
        <w:rPr>
          <w:rFonts w:ascii="Times New Roman" w:hAnsi="Times New Roman" w:cs="Times New Roman"/>
          <w:color w:val="000000" w:themeColor="text1"/>
          <w:sz w:val="24"/>
          <w:szCs w:val="24"/>
        </w:rPr>
        <w:t>,</w:t>
      </w:r>
      <w:r w:rsidR="003925CF" w:rsidRPr="001B7A89">
        <w:rPr>
          <w:rFonts w:ascii="Times New Roman" w:hAnsi="Times New Roman" w:cs="Times New Roman"/>
          <w:color w:val="000000" w:themeColor="text1"/>
          <w:sz w:val="24"/>
          <w:szCs w:val="24"/>
        </w:rPr>
        <w:t xml:space="preserve"> Dr. Song</w:t>
      </w:r>
      <w:r w:rsidR="00F26E16" w:rsidRPr="001B7A89">
        <w:rPr>
          <w:rFonts w:ascii="Times New Roman" w:hAnsi="Times New Roman" w:cs="Times New Roman"/>
          <w:color w:val="000000" w:themeColor="text1"/>
          <w:sz w:val="24"/>
          <w:szCs w:val="24"/>
        </w:rPr>
        <w:t>,</w:t>
      </w:r>
      <w:r w:rsidR="003925CF" w:rsidRPr="001B7A89">
        <w:rPr>
          <w:rFonts w:ascii="Times New Roman" w:hAnsi="Times New Roman" w:cs="Times New Roman"/>
          <w:color w:val="000000" w:themeColor="text1"/>
          <w:sz w:val="24"/>
          <w:szCs w:val="24"/>
        </w:rPr>
        <w:t xml:space="preserve"> for picking up the mantle to chair my dissertation committee. Your input on all facets of this research helped me produce something </w:t>
      </w:r>
      <w:r w:rsidR="00F26E16" w:rsidRPr="001B7A89">
        <w:rPr>
          <w:rFonts w:ascii="Times New Roman" w:hAnsi="Times New Roman" w:cs="Times New Roman"/>
          <w:color w:val="000000" w:themeColor="text1"/>
          <w:sz w:val="24"/>
          <w:szCs w:val="24"/>
        </w:rPr>
        <w:t xml:space="preserve">of which </w:t>
      </w:r>
      <w:r w:rsidR="003925CF" w:rsidRPr="001B7A89">
        <w:rPr>
          <w:rFonts w:ascii="Times New Roman" w:hAnsi="Times New Roman" w:cs="Times New Roman"/>
          <w:color w:val="000000" w:themeColor="text1"/>
          <w:sz w:val="24"/>
          <w:szCs w:val="24"/>
        </w:rPr>
        <w:t xml:space="preserve">I am truly proud. </w:t>
      </w:r>
    </w:p>
    <w:p w14:paraId="4C19AC22" w14:textId="713F57D8" w:rsidR="003925CF" w:rsidRPr="001B7A89" w:rsidRDefault="003925CF" w:rsidP="001B7A89">
      <w:pPr>
        <w:widowControl w:val="0"/>
        <w:spacing w:after="0" w:line="480" w:lineRule="auto"/>
        <w:rPr>
          <w:rFonts w:ascii="Times New Roman" w:hAnsi="Times New Roman" w:cs="Times New Roman"/>
          <w:color w:val="000000" w:themeColor="text1"/>
          <w:sz w:val="24"/>
          <w:szCs w:val="24"/>
        </w:rPr>
      </w:pPr>
      <w:r w:rsidRPr="001B7A89">
        <w:rPr>
          <w:rFonts w:ascii="Times New Roman" w:hAnsi="Times New Roman" w:cs="Times New Roman"/>
          <w:color w:val="000000" w:themeColor="text1"/>
          <w:sz w:val="24"/>
          <w:szCs w:val="24"/>
        </w:rPr>
        <w:tab/>
      </w:r>
      <w:r w:rsidR="00B07ECB" w:rsidRPr="001B7A89">
        <w:rPr>
          <w:rFonts w:ascii="Times New Roman" w:hAnsi="Times New Roman" w:cs="Times New Roman"/>
          <w:color w:val="000000" w:themeColor="text1"/>
          <w:sz w:val="24"/>
          <w:szCs w:val="24"/>
        </w:rPr>
        <w:t>Finally, I would no</w:t>
      </w:r>
      <w:r w:rsidR="00136A48" w:rsidRPr="001B7A89">
        <w:rPr>
          <w:rFonts w:ascii="Times New Roman" w:hAnsi="Times New Roman" w:cs="Times New Roman"/>
          <w:color w:val="000000" w:themeColor="text1"/>
          <w:sz w:val="24"/>
          <w:szCs w:val="24"/>
        </w:rPr>
        <w:t xml:space="preserve">t be the person I am without support and guidance of my wife, Joni. From the very beginning of this journey when I had </w:t>
      </w:r>
      <w:r w:rsidR="00BC42D6" w:rsidRPr="001B7A89">
        <w:rPr>
          <w:rFonts w:ascii="Times New Roman" w:hAnsi="Times New Roman" w:cs="Times New Roman"/>
          <w:color w:val="000000" w:themeColor="text1"/>
          <w:sz w:val="24"/>
          <w:szCs w:val="24"/>
        </w:rPr>
        <w:t>proposed</w:t>
      </w:r>
      <w:r w:rsidR="00136A48" w:rsidRPr="001B7A89">
        <w:rPr>
          <w:rFonts w:ascii="Times New Roman" w:hAnsi="Times New Roman" w:cs="Times New Roman"/>
          <w:color w:val="000000" w:themeColor="text1"/>
          <w:sz w:val="24"/>
          <w:szCs w:val="24"/>
        </w:rPr>
        <w:t xml:space="preserve"> the possibility of earning my Ph.D., </w:t>
      </w:r>
      <w:r w:rsidR="00BC42D6" w:rsidRPr="001B7A89">
        <w:rPr>
          <w:rFonts w:ascii="Times New Roman" w:hAnsi="Times New Roman" w:cs="Times New Roman"/>
          <w:color w:val="000000" w:themeColor="text1"/>
          <w:sz w:val="24"/>
          <w:szCs w:val="24"/>
        </w:rPr>
        <w:t xml:space="preserve">you have been </w:t>
      </w:r>
      <w:r w:rsidR="00136A48" w:rsidRPr="001B7A89">
        <w:rPr>
          <w:rFonts w:ascii="Times New Roman" w:hAnsi="Times New Roman" w:cs="Times New Roman"/>
          <w:color w:val="000000" w:themeColor="text1"/>
          <w:sz w:val="24"/>
          <w:szCs w:val="24"/>
        </w:rPr>
        <w:t xml:space="preserve">my advocate. When I needed time to work, </w:t>
      </w:r>
      <w:r w:rsidR="00BC42D6" w:rsidRPr="001B7A89">
        <w:rPr>
          <w:rFonts w:ascii="Times New Roman" w:hAnsi="Times New Roman" w:cs="Times New Roman"/>
          <w:color w:val="000000" w:themeColor="text1"/>
          <w:sz w:val="24"/>
          <w:szCs w:val="24"/>
        </w:rPr>
        <w:t>you were</w:t>
      </w:r>
      <w:r w:rsidR="00136A48" w:rsidRPr="001B7A89">
        <w:rPr>
          <w:rFonts w:ascii="Times New Roman" w:hAnsi="Times New Roman" w:cs="Times New Roman"/>
          <w:color w:val="000000" w:themeColor="text1"/>
          <w:sz w:val="24"/>
          <w:szCs w:val="24"/>
        </w:rPr>
        <w:t xml:space="preserve"> there to give it. When I faltered or needed a boost, </w:t>
      </w:r>
      <w:r w:rsidR="00BC42D6" w:rsidRPr="001B7A89">
        <w:rPr>
          <w:rFonts w:ascii="Times New Roman" w:hAnsi="Times New Roman" w:cs="Times New Roman"/>
          <w:color w:val="000000" w:themeColor="text1"/>
          <w:sz w:val="24"/>
          <w:szCs w:val="24"/>
        </w:rPr>
        <w:t>you were</w:t>
      </w:r>
      <w:r w:rsidR="00136A48" w:rsidRPr="001B7A89">
        <w:rPr>
          <w:rFonts w:ascii="Times New Roman" w:hAnsi="Times New Roman" w:cs="Times New Roman"/>
          <w:color w:val="000000" w:themeColor="text1"/>
          <w:sz w:val="24"/>
          <w:szCs w:val="24"/>
        </w:rPr>
        <w:t xml:space="preserve"> there with an ear to listen or a shoulder to lean on. I would not have reached this lifelong goal without </w:t>
      </w:r>
      <w:r w:rsidR="00BC42D6" w:rsidRPr="001B7A89">
        <w:rPr>
          <w:rFonts w:ascii="Times New Roman" w:hAnsi="Times New Roman" w:cs="Times New Roman"/>
          <w:color w:val="000000" w:themeColor="text1"/>
          <w:sz w:val="24"/>
          <w:szCs w:val="24"/>
        </w:rPr>
        <w:t>you</w:t>
      </w:r>
      <w:r w:rsidR="00136A48" w:rsidRPr="001B7A89">
        <w:rPr>
          <w:rFonts w:ascii="Times New Roman" w:hAnsi="Times New Roman" w:cs="Times New Roman"/>
          <w:color w:val="000000" w:themeColor="text1"/>
          <w:sz w:val="24"/>
          <w:szCs w:val="24"/>
        </w:rPr>
        <w:t>. I am forever grateful.</w:t>
      </w:r>
    </w:p>
    <w:p w14:paraId="2619F33B" w14:textId="33577BDF" w:rsidR="003F7FE4" w:rsidRPr="001B7A89" w:rsidRDefault="003F7FE4" w:rsidP="001B7A89">
      <w:pPr>
        <w:widowControl w:val="0"/>
        <w:spacing w:after="0" w:line="480" w:lineRule="auto"/>
        <w:rPr>
          <w:rFonts w:ascii="Times New Roman" w:hAnsi="Times New Roman" w:cs="Times New Roman"/>
          <w:color w:val="000000" w:themeColor="text1"/>
          <w:sz w:val="24"/>
          <w:szCs w:val="24"/>
        </w:rPr>
      </w:pPr>
    </w:p>
    <w:p w14:paraId="3E37E59D" w14:textId="42D147D8" w:rsidR="003F7FE4" w:rsidRPr="001B7A89" w:rsidRDefault="003F7FE4" w:rsidP="001B7A89">
      <w:pPr>
        <w:widowControl w:val="0"/>
        <w:spacing w:after="0" w:line="480" w:lineRule="auto"/>
        <w:rPr>
          <w:rFonts w:ascii="Times New Roman" w:hAnsi="Times New Roman" w:cs="Times New Roman"/>
          <w:color w:val="000000" w:themeColor="text1"/>
          <w:sz w:val="24"/>
          <w:szCs w:val="24"/>
        </w:rPr>
      </w:pPr>
    </w:p>
    <w:p w14:paraId="71BDFAD7" w14:textId="77777777" w:rsidR="003F7FE4" w:rsidRPr="001B7A89" w:rsidRDefault="003F7FE4" w:rsidP="00BA4A2D">
      <w:pPr>
        <w:widowControl w:val="0"/>
        <w:spacing w:after="0" w:line="480" w:lineRule="auto"/>
        <w:rPr>
          <w:rFonts w:ascii="Times New Roman" w:hAnsi="Times New Roman" w:cs="Times New Roman"/>
          <w:color w:val="000000" w:themeColor="text1"/>
          <w:sz w:val="24"/>
          <w:szCs w:val="24"/>
        </w:rPr>
      </w:pPr>
    </w:p>
    <w:sdt>
      <w:sdtPr>
        <w:rPr>
          <w:rFonts w:ascii="Times New Roman" w:eastAsiaTheme="minorHAnsi" w:hAnsi="Times New Roman" w:cs="Times New Roman"/>
          <w:color w:val="auto"/>
          <w:sz w:val="24"/>
          <w:szCs w:val="24"/>
        </w:rPr>
        <w:id w:val="2085029678"/>
        <w:docPartObj>
          <w:docPartGallery w:val="Table of Contents"/>
          <w:docPartUnique/>
        </w:docPartObj>
      </w:sdtPr>
      <w:sdtEndPr>
        <w:rPr>
          <w:rFonts w:asciiTheme="minorHAnsi" w:hAnsiTheme="minorHAnsi" w:cstheme="minorBidi"/>
          <w:b/>
          <w:bCs/>
          <w:noProof/>
          <w:sz w:val="22"/>
          <w:szCs w:val="22"/>
        </w:rPr>
      </w:sdtEndPr>
      <w:sdtContent>
        <w:p w14:paraId="3726E0CE" w14:textId="51594B72" w:rsidR="00F150B4" w:rsidRPr="00BA4A2D" w:rsidRDefault="00F150B4" w:rsidP="00BA4A2D">
          <w:pPr>
            <w:pStyle w:val="TOCHeading"/>
            <w:spacing w:before="0" w:line="480" w:lineRule="auto"/>
            <w:jc w:val="center"/>
            <w:rPr>
              <w:rFonts w:ascii="Times New Roman" w:hAnsi="Times New Roman" w:cs="Times New Roman"/>
              <w:b/>
              <w:bCs/>
              <w:color w:val="auto"/>
              <w:sz w:val="24"/>
              <w:szCs w:val="24"/>
            </w:rPr>
          </w:pPr>
          <w:r w:rsidRPr="00BA4A2D">
            <w:rPr>
              <w:rFonts w:ascii="Times New Roman" w:hAnsi="Times New Roman" w:cs="Times New Roman"/>
              <w:b/>
              <w:bCs/>
              <w:color w:val="auto"/>
              <w:sz w:val="24"/>
              <w:szCs w:val="24"/>
            </w:rPr>
            <w:t>Table of Contents</w:t>
          </w:r>
        </w:p>
        <w:p w14:paraId="68023640" w14:textId="1F70BF7D" w:rsidR="00F150B4" w:rsidRPr="00BA4A2D" w:rsidRDefault="00F150B4" w:rsidP="00BA4A2D">
          <w:pPr>
            <w:pStyle w:val="TOC1"/>
            <w:tabs>
              <w:tab w:val="right" w:leader="dot" w:pos="9350"/>
            </w:tabs>
            <w:spacing w:after="0" w:line="480" w:lineRule="auto"/>
            <w:rPr>
              <w:rFonts w:ascii="Times New Roman" w:hAnsi="Times New Roman" w:cs="Times New Roman"/>
              <w:noProof/>
              <w:sz w:val="24"/>
              <w:szCs w:val="24"/>
            </w:rPr>
          </w:pPr>
          <w:r w:rsidRPr="00BA4A2D">
            <w:rPr>
              <w:rFonts w:ascii="Times New Roman" w:hAnsi="Times New Roman" w:cs="Times New Roman"/>
              <w:sz w:val="24"/>
              <w:szCs w:val="24"/>
            </w:rPr>
            <w:fldChar w:fldCharType="begin"/>
          </w:r>
          <w:r w:rsidRPr="00BA4A2D">
            <w:rPr>
              <w:rFonts w:ascii="Times New Roman" w:hAnsi="Times New Roman" w:cs="Times New Roman"/>
              <w:sz w:val="24"/>
              <w:szCs w:val="24"/>
            </w:rPr>
            <w:instrText xml:space="preserve"> TOC \o "1-3" \h \z \u </w:instrText>
          </w:r>
          <w:r w:rsidRPr="00BA4A2D">
            <w:rPr>
              <w:rFonts w:ascii="Times New Roman" w:hAnsi="Times New Roman" w:cs="Times New Roman"/>
              <w:sz w:val="24"/>
              <w:szCs w:val="24"/>
            </w:rPr>
            <w:fldChar w:fldCharType="separate"/>
          </w:r>
          <w:hyperlink w:anchor="_Toc117501903" w:history="1">
            <w:r w:rsidRPr="00BA4A2D">
              <w:rPr>
                <w:rStyle w:val="Hyperlink"/>
                <w:rFonts w:ascii="Times New Roman" w:hAnsi="Times New Roman" w:cs="Times New Roman"/>
                <w:noProof/>
                <w:sz w:val="24"/>
                <w:szCs w:val="24"/>
              </w:rPr>
              <w:t>List of Tables</w:t>
            </w:r>
            <w:r w:rsidRPr="00BA4A2D">
              <w:rPr>
                <w:rFonts w:ascii="Times New Roman" w:hAnsi="Times New Roman" w:cs="Times New Roman"/>
                <w:noProof/>
                <w:webHidden/>
                <w:sz w:val="24"/>
                <w:szCs w:val="24"/>
              </w:rPr>
              <w:tab/>
            </w:r>
            <w:r w:rsidRPr="00BA4A2D">
              <w:rPr>
                <w:rFonts w:ascii="Times New Roman" w:hAnsi="Times New Roman" w:cs="Times New Roman"/>
                <w:noProof/>
                <w:webHidden/>
                <w:sz w:val="24"/>
                <w:szCs w:val="24"/>
              </w:rPr>
              <w:fldChar w:fldCharType="begin"/>
            </w:r>
            <w:r w:rsidRPr="00BA4A2D">
              <w:rPr>
                <w:rFonts w:ascii="Times New Roman" w:hAnsi="Times New Roman" w:cs="Times New Roman"/>
                <w:noProof/>
                <w:webHidden/>
                <w:sz w:val="24"/>
                <w:szCs w:val="24"/>
              </w:rPr>
              <w:instrText xml:space="preserve"> PAGEREF _Toc117501903 \h </w:instrText>
            </w:r>
            <w:r w:rsidRPr="00BA4A2D">
              <w:rPr>
                <w:rFonts w:ascii="Times New Roman" w:hAnsi="Times New Roman" w:cs="Times New Roman"/>
                <w:noProof/>
                <w:webHidden/>
                <w:sz w:val="24"/>
                <w:szCs w:val="24"/>
              </w:rPr>
            </w:r>
            <w:r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xi</w:t>
            </w:r>
            <w:r w:rsidRPr="00BA4A2D">
              <w:rPr>
                <w:rFonts w:ascii="Times New Roman" w:hAnsi="Times New Roman" w:cs="Times New Roman"/>
                <w:noProof/>
                <w:webHidden/>
                <w:sz w:val="24"/>
                <w:szCs w:val="24"/>
              </w:rPr>
              <w:fldChar w:fldCharType="end"/>
            </w:r>
          </w:hyperlink>
        </w:p>
        <w:p w14:paraId="37E818D5" w14:textId="436EE49E" w:rsidR="00F150B4" w:rsidRPr="00BA4A2D" w:rsidRDefault="00000000" w:rsidP="00BA4A2D">
          <w:pPr>
            <w:pStyle w:val="TOC2"/>
            <w:rPr>
              <w:rFonts w:ascii="Times New Roman" w:hAnsi="Times New Roman" w:cs="Times New Roman"/>
              <w:noProof/>
              <w:sz w:val="24"/>
              <w:szCs w:val="24"/>
            </w:rPr>
          </w:pPr>
          <w:hyperlink w:anchor="_Toc117501904" w:history="1">
            <w:r w:rsidR="00F150B4" w:rsidRPr="00BA4A2D">
              <w:rPr>
                <w:rStyle w:val="Hyperlink"/>
                <w:rFonts w:ascii="Times New Roman" w:hAnsi="Times New Roman" w:cs="Times New Roman"/>
                <w:noProof/>
                <w:sz w:val="24"/>
                <w:szCs w:val="24"/>
              </w:rPr>
              <w:t>Background of the Study</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_Toc117501904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5</w:t>
            </w:r>
            <w:r w:rsidR="00F150B4" w:rsidRPr="00BA4A2D">
              <w:rPr>
                <w:rFonts w:ascii="Times New Roman" w:hAnsi="Times New Roman" w:cs="Times New Roman"/>
                <w:noProof/>
                <w:webHidden/>
                <w:sz w:val="24"/>
                <w:szCs w:val="24"/>
              </w:rPr>
              <w:fldChar w:fldCharType="end"/>
            </w:r>
          </w:hyperlink>
        </w:p>
        <w:p w14:paraId="5E0D6637" w14:textId="104562CF" w:rsidR="00F150B4" w:rsidRPr="00BA4A2D" w:rsidRDefault="00000000" w:rsidP="00BA4A2D">
          <w:pPr>
            <w:pStyle w:val="TOC2"/>
            <w:rPr>
              <w:rFonts w:ascii="Times New Roman" w:hAnsi="Times New Roman" w:cs="Times New Roman"/>
              <w:noProof/>
              <w:sz w:val="24"/>
              <w:szCs w:val="24"/>
            </w:rPr>
          </w:pPr>
          <w:hyperlink w:anchor="_Toc117501905" w:history="1">
            <w:r w:rsidR="00F150B4" w:rsidRPr="00BA4A2D">
              <w:rPr>
                <w:rStyle w:val="Hyperlink"/>
                <w:rFonts w:ascii="Times New Roman" w:hAnsi="Times New Roman" w:cs="Times New Roman"/>
                <w:noProof/>
                <w:sz w:val="24"/>
                <w:szCs w:val="24"/>
              </w:rPr>
              <w:t>Problem Statement and Significance of the Study</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_Toc117501905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3</w:t>
            </w:r>
            <w:r w:rsidR="00F150B4" w:rsidRPr="00BA4A2D">
              <w:rPr>
                <w:rFonts w:ascii="Times New Roman" w:hAnsi="Times New Roman" w:cs="Times New Roman"/>
                <w:noProof/>
                <w:webHidden/>
                <w:sz w:val="24"/>
                <w:szCs w:val="24"/>
              </w:rPr>
              <w:fldChar w:fldCharType="end"/>
            </w:r>
          </w:hyperlink>
        </w:p>
        <w:p w14:paraId="431726B8" w14:textId="50EC57C5" w:rsidR="00F150B4" w:rsidRPr="00BA4A2D" w:rsidRDefault="00000000" w:rsidP="00BA4A2D">
          <w:pPr>
            <w:pStyle w:val="TOC2"/>
            <w:rPr>
              <w:rFonts w:ascii="Times New Roman" w:hAnsi="Times New Roman" w:cs="Times New Roman"/>
              <w:noProof/>
              <w:sz w:val="24"/>
              <w:szCs w:val="24"/>
            </w:rPr>
          </w:pPr>
          <w:hyperlink w:anchor="_Toc117501906" w:history="1">
            <w:r w:rsidR="00F150B4" w:rsidRPr="00BA4A2D">
              <w:rPr>
                <w:rStyle w:val="Hyperlink"/>
                <w:rFonts w:ascii="Times New Roman" w:hAnsi="Times New Roman" w:cs="Times New Roman"/>
                <w:noProof/>
                <w:sz w:val="24"/>
                <w:szCs w:val="24"/>
              </w:rPr>
              <w:t>Theoretical Foundations</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_Toc117501906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5</w:t>
            </w:r>
            <w:r w:rsidR="00F150B4" w:rsidRPr="00BA4A2D">
              <w:rPr>
                <w:rFonts w:ascii="Times New Roman" w:hAnsi="Times New Roman" w:cs="Times New Roman"/>
                <w:noProof/>
                <w:webHidden/>
                <w:sz w:val="24"/>
                <w:szCs w:val="24"/>
              </w:rPr>
              <w:fldChar w:fldCharType="end"/>
            </w:r>
          </w:hyperlink>
        </w:p>
        <w:p w14:paraId="6A353968" w14:textId="15EFFFBA" w:rsidR="00F150B4" w:rsidRPr="00BA4A2D" w:rsidRDefault="00000000" w:rsidP="00BA4A2D">
          <w:pPr>
            <w:pStyle w:val="TOC2"/>
            <w:rPr>
              <w:rFonts w:ascii="Times New Roman" w:hAnsi="Times New Roman" w:cs="Times New Roman"/>
              <w:noProof/>
              <w:sz w:val="24"/>
              <w:szCs w:val="24"/>
            </w:rPr>
          </w:pPr>
          <w:hyperlink w:anchor="_Toc117501907" w:history="1">
            <w:r w:rsidR="00F150B4" w:rsidRPr="00BA4A2D">
              <w:rPr>
                <w:rStyle w:val="Hyperlink"/>
                <w:rFonts w:ascii="Times New Roman" w:eastAsia="Times New Roman" w:hAnsi="Times New Roman" w:cs="Times New Roman"/>
                <w:noProof/>
                <w:sz w:val="24"/>
                <w:szCs w:val="24"/>
                <w:lang w:val="en-GB" w:eastAsia="en-GB"/>
              </w:rPr>
              <w:t>Researcher’s Positionality</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_Toc117501907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7</w:t>
            </w:r>
            <w:r w:rsidR="00F150B4" w:rsidRPr="00BA4A2D">
              <w:rPr>
                <w:rFonts w:ascii="Times New Roman" w:hAnsi="Times New Roman" w:cs="Times New Roman"/>
                <w:noProof/>
                <w:webHidden/>
                <w:sz w:val="24"/>
                <w:szCs w:val="24"/>
              </w:rPr>
              <w:fldChar w:fldCharType="end"/>
            </w:r>
          </w:hyperlink>
        </w:p>
        <w:p w14:paraId="16E83F73" w14:textId="33325046" w:rsidR="00F150B4" w:rsidRPr="00BA4A2D" w:rsidRDefault="00000000" w:rsidP="00BA4A2D">
          <w:pPr>
            <w:pStyle w:val="TOC2"/>
            <w:rPr>
              <w:rFonts w:ascii="Times New Roman" w:hAnsi="Times New Roman" w:cs="Times New Roman"/>
              <w:noProof/>
              <w:sz w:val="24"/>
              <w:szCs w:val="24"/>
            </w:rPr>
          </w:pPr>
          <w:hyperlink w:anchor="_Toc117501908" w:history="1">
            <w:r w:rsidR="00F150B4" w:rsidRPr="00BA4A2D">
              <w:rPr>
                <w:rStyle w:val="Hyperlink"/>
                <w:rFonts w:ascii="Times New Roman" w:eastAsia="Times New Roman" w:hAnsi="Times New Roman" w:cs="Times New Roman"/>
                <w:noProof/>
                <w:sz w:val="24"/>
                <w:szCs w:val="24"/>
                <w:lang w:val="en-GB" w:eastAsia="en-GB"/>
              </w:rPr>
              <w:t>Purpose of the Study</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_Toc117501908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8</w:t>
            </w:r>
            <w:r w:rsidR="00F150B4" w:rsidRPr="00BA4A2D">
              <w:rPr>
                <w:rFonts w:ascii="Times New Roman" w:hAnsi="Times New Roman" w:cs="Times New Roman"/>
                <w:noProof/>
                <w:webHidden/>
                <w:sz w:val="24"/>
                <w:szCs w:val="24"/>
              </w:rPr>
              <w:fldChar w:fldCharType="end"/>
            </w:r>
          </w:hyperlink>
        </w:p>
        <w:p w14:paraId="66D6CB22" w14:textId="2C3E4EC5" w:rsidR="00F150B4" w:rsidRPr="00BA4A2D" w:rsidRDefault="00000000" w:rsidP="00BA4A2D">
          <w:pPr>
            <w:pStyle w:val="TOC2"/>
            <w:rPr>
              <w:rFonts w:ascii="Times New Roman" w:hAnsi="Times New Roman" w:cs="Times New Roman"/>
              <w:noProof/>
              <w:sz w:val="24"/>
              <w:szCs w:val="24"/>
            </w:rPr>
          </w:pPr>
          <w:hyperlink w:anchor="_Toc117501909" w:history="1">
            <w:r w:rsidR="00F150B4" w:rsidRPr="00BA4A2D">
              <w:rPr>
                <w:rStyle w:val="Hyperlink"/>
                <w:rFonts w:ascii="Times New Roman" w:hAnsi="Times New Roman" w:cs="Times New Roman"/>
                <w:noProof/>
                <w:sz w:val="24"/>
                <w:szCs w:val="24"/>
              </w:rPr>
              <w:t>Rationale for Methodology</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_Toc117501909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9</w:t>
            </w:r>
            <w:r w:rsidR="00F150B4" w:rsidRPr="00BA4A2D">
              <w:rPr>
                <w:rFonts w:ascii="Times New Roman" w:hAnsi="Times New Roman" w:cs="Times New Roman"/>
                <w:noProof/>
                <w:webHidden/>
                <w:sz w:val="24"/>
                <w:szCs w:val="24"/>
              </w:rPr>
              <w:fldChar w:fldCharType="end"/>
            </w:r>
          </w:hyperlink>
        </w:p>
        <w:p w14:paraId="593BC592" w14:textId="6D609E06" w:rsidR="00F150B4" w:rsidRPr="00BA4A2D" w:rsidRDefault="00000000" w:rsidP="00BA4A2D">
          <w:pPr>
            <w:pStyle w:val="TOC2"/>
            <w:rPr>
              <w:rFonts w:ascii="Times New Roman" w:hAnsi="Times New Roman" w:cs="Times New Roman"/>
              <w:noProof/>
              <w:sz w:val="24"/>
              <w:szCs w:val="24"/>
            </w:rPr>
          </w:pPr>
          <w:hyperlink w:anchor="_Toc117501910" w:history="1">
            <w:r w:rsidR="00F150B4" w:rsidRPr="00BA4A2D">
              <w:rPr>
                <w:rStyle w:val="Hyperlink"/>
                <w:rFonts w:ascii="Times New Roman" w:hAnsi="Times New Roman" w:cs="Times New Roman"/>
                <w:noProof/>
                <w:sz w:val="24"/>
                <w:szCs w:val="24"/>
              </w:rPr>
              <w:t>Definition of the Terms</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_Toc117501910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10</w:t>
            </w:r>
            <w:r w:rsidR="00F150B4" w:rsidRPr="00BA4A2D">
              <w:rPr>
                <w:rFonts w:ascii="Times New Roman" w:hAnsi="Times New Roman" w:cs="Times New Roman"/>
                <w:noProof/>
                <w:webHidden/>
                <w:sz w:val="24"/>
                <w:szCs w:val="24"/>
              </w:rPr>
              <w:fldChar w:fldCharType="end"/>
            </w:r>
          </w:hyperlink>
        </w:p>
        <w:p w14:paraId="6517534B" w14:textId="2E9B50CE" w:rsidR="00F150B4" w:rsidRPr="00BA4A2D" w:rsidRDefault="00000000" w:rsidP="00BA4A2D">
          <w:pPr>
            <w:pStyle w:val="TOC2"/>
            <w:rPr>
              <w:rFonts w:ascii="Times New Roman" w:hAnsi="Times New Roman" w:cs="Times New Roman"/>
              <w:noProof/>
              <w:sz w:val="24"/>
              <w:szCs w:val="24"/>
            </w:rPr>
          </w:pPr>
          <w:hyperlink w:anchor="_Toc117501911" w:history="1">
            <w:r w:rsidR="00F150B4" w:rsidRPr="00BA4A2D">
              <w:rPr>
                <w:rStyle w:val="Hyperlink"/>
                <w:rFonts w:ascii="Times New Roman" w:hAnsi="Times New Roman" w:cs="Times New Roman"/>
                <w:noProof/>
                <w:sz w:val="24"/>
                <w:szCs w:val="24"/>
              </w:rPr>
              <w:t>Summary and Organization of the Remainder of the Study</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_Toc117501911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11</w:t>
            </w:r>
            <w:r w:rsidR="00F150B4" w:rsidRPr="00BA4A2D">
              <w:rPr>
                <w:rFonts w:ascii="Times New Roman" w:hAnsi="Times New Roman" w:cs="Times New Roman"/>
                <w:noProof/>
                <w:webHidden/>
                <w:sz w:val="24"/>
                <w:szCs w:val="24"/>
              </w:rPr>
              <w:fldChar w:fldCharType="end"/>
            </w:r>
          </w:hyperlink>
        </w:p>
        <w:p w14:paraId="4AE35B9B" w14:textId="1777B5CC" w:rsidR="00F150B4" w:rsidRPr="00BA4A2D" w:rsidRDefault="00000000" w:rsidP="00BA4A2D">
          <w:pPr>
            <w:pStyle w:val="TOC1"/>
            <w:tabs>
              <w:tab w:val="right" w:leader="dot" w:pos="9350"/>
            </w:tabs>
            <w:spacing w:after="0" w:line="480" w:lineRule="auto"/>
            <w:rPr>
              <w:rFonts w:ascii="Times New Roman" w:hAnsi="Times New Roman" w:cs="Times New Roman"/>
              <w:noProof/>
              <w:sz w:val="24"/>
              <w:szCs w:val="24"/>
            </w:rPr>
          </w:pPr>
          <w:hyperlink w:anchor="_Toc117501912" w:history="1">
            <w:r w:rsidR="00F150B4" w:rsidRPr="00BA4A2D">
              <w:rPr>
                <w:rStyle w:val="Hyperlink"/>
                <w:rFonts w:ascii="Times New Roman" w:hAnsi="Times New Roman" w:cs="Times New Roman"/>
                <w:noProof/>
                <w:sz w:val="24"/>
                <w:szCs w:val="24"/>
              </w:rPr>
              <w:t>Chapter 2: Literature Review</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_Toc117501912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13</w:t>
            </w:r>
            <w:r w:rsidR="00F150B4" w:rsidRPr="00BA4A2D">
              <w:rPr>
                <w:rFonts w:ascii="Times New Roman" w:hAnsi="Times New Roman" w:cs="Times New Roman"/>
                <w:noProof/>
                <w:webHidden/>
                <w:sz w:val="24"/>
                <w:szCs w:val="24"/>
              </w:rPr>
              <w:fldChar w:fldCharType="end"/>
            </w:r>
          </w:hyperlink>
        </w:p>
        <w:p w14:paraId="0F3E30B7" w14:textId="6686071C" w:rsidR="00F150B4" w:rsidRPr="00BA4A2D" w:rsidRDefault="00000000" w:rsidP="00BA4A2D">
          <w:pPr>
            <w:pStyle w:val="TOC2"/>
            <w:rPr>
              <w:rFonts w:ascii="Times New Roman" w:hAnsi="Times New Roman" w:cs="Times New Roman"/>
              <w:noProof/>
              <w:sz w:val="24"/>
              <w:szCs w:val="24"/>
            </w:rPr>
          </w:pPr>
          <w:hyperlink w:anchor="_Toc117501913" w:history="1">
            <w:r w:rsidR="00F150B4" w:rsidRPr="00BA4A2D">
              <w:rPr>
                <w:rStyle w:val="Hyperlink"/>
                <w:rFonts w:ascii="Times New Roman" w:hAnsi="Times New Roman" w:cs="Times New Roman"/>
                <w:noProof/>
                <w:sz w:val="24"/>
                <w:szCs w:val="24"/>
              </w:rPr>
              <w:t>Introduction and Rationale for Researching the Problem</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_Toc117501913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13</w:t>
            </w:r>
            <w:r w:rsidR="00F150B4" w:rsidRPr="00BA4A2D">
              <w:rPr>
                <w:rFonts w:ascii="Times New Roman" w:hAnsi="Times New Roman" w:cs="Times New Roman"/>
                <w:noProof/>
                <w:webHidden/>
                <w:sz w:val="24"/>
                <w:szCs w:val="24"/>
              </w:rPr>
              <w:fldChar w:fldCharType="end"/>
            </w:r>
          </w:hyperlink>
        </w:p>
        <w:p w14:paraId="5FDF8311" w14:textId="3ECB9942" w:rsidR="00F150B4" w:rsidRPr="00BA4A2D" w:rsidRDefault="00000000" w:rsidP="00BA4A2D">
          <w:pPr>
            <w:pStyle w:val="TOC2"/>
            <w:rPr>
              <w:rFonts w:ascii="Times New Roman" w:hAnsi="Times New Roman" w:cs="Times New Roman"/>
              <w:noProof/>
              <w:sz w:val="24"/>
              <w:szCs w:val="24"/>
            </w:rPr>
          </w:pPr>
          <w:hyperlink w:anchor="_Toc117501914" w:history="1">
            <w:r w:rsidR="00F150B4" w:rsidRPr="00BA4A2D">
              <w:rPr>
                <w:rStyle w:val="Hyperlink"/>
                <w:rFonts w:ascii="Times New Roman" w:hAnsi="Times New Roman" w:cs="Times New Roman"/>
                <w:noProof/>
                <w:sz w:val="24"/>
                <w:szCs w:val="24"/>
              </w:rPr>
              <w:t>Factors Impacting Underrepresentation of Women in STEM Careers</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_Toc117501914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14</w:t>
            </w:r>
            <w:r w:rsidR="00F150B4" w:rsidRPr="00BA4A2D">
              <w:rPr>
                <w:rFonts w:ascii="Times New Roman" w:hAnsi="Times New Roman" w:cs="Times New Roman"/>
                <w:noProof/>
                <w:webHidden/>
                <w:sz w:val="24"/>
                <w:szCs w:val="24"/>
              </w:rPr>
              <w:fldChar w:fldCharType="end"/>
            </w:r>
          </w:hyperlink>
        </w:p>
        <w:p w14:paraId="1CB411EC" w14:textId="23C35BE2" w:rsidR="00F150B4" w:rsidRPr="00BA4A2D" w:rsidRDefault="00000000" w:rsidP="00BA4A2D">
          <w:pPr>
            <w:pStyle w:val="TOC1"/>
            <w:tabs>
              <w:tab w:val="right" w:leader="dot" w:pos="9350"/>
            </w:tabs>
            <w:spacing w:after="0" w:line="480" w:lineRule="auto"/>
            <w:rPr>
              <w:rFonts w:ascii="Times New Roman" w:hAnsi="Times New Roman" w:cs="Times New Roman"/>
              <w:noProof/>
              <w:sz w:val="24"/>
              <w:szCs w:val="24"/>
            </w:rPr>
          </w:pPr>
          <w:hyperlink w:anchor="_Toc117501915" w:history="1">
            <w:r w:rsidR="00F150B4" w:rsidRPr="00BA4A2D">
              <w:rPr>
                <w:rStyle w:val="Hyperlink"/>
                <w:rFonts w:ascii="Times New Roman" w:hAnsi="Times New Roman" w:cs="Times New Roman"/>
                <w:noProof/>
                <w:sz w:val="24"/>
                <w:szCs w:val="24"/>
              </w:rPr>
              <w:t>Chapter 3: Methodology</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_Toc117501915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27</w:t>
            </w:r>
            <w:r w:rsidR="00F150B4" w:rsidRPr="00BA4A2D">
              <w:rPr>
                <w:rFonts w:ascii="Times New Roman" w:hAnsi="Times New Roman" w:cs="Times New Roman"/>
                <w:noProof/>
                <w:webHidden/>
                <w:sz w:val="24"/>
                <w:szCs w:val="24"/>
              </w:rPr>
              <w:fldChar w:fldCharType="end"/>
            </w:r>
          </w:hyperlink>
        </w:p>
        <w:p w14:paraId="4320500B" w14:textId="18A8BDF4" w:rsidR="00F150B4" w:rsidRPr="00BA4A2D" w:rsidRDefault="00000000" w:rsidP="00BA4A2D">
          <w:pPr>
            <w:pStyle w:val="TOC2"/>
            <w:rPr>
              <w:rFonts w:ascii="Times New Roman" w:hAnsi="Times New Roman" w:cs="Times New Roman"/>
              <w:noProof/>
              <w:sz w:val="24"/>
              <w:szCs w:val="24"/>
            </w:rPr>
          </w:pPr>
          <w:hyperlink w:anchor="_Toc117501916" w:history="1">
            <w:r w:rsidR="00F150B4" w:rsidRPr="00BA4A2D">
              <w:rPr>
                <w:rStyle w:val="Hyperlink"/>
                <w:rFonts w:ascii="Times New Roman" w:hAnsi="Times New Roman" w:cs="Times New Roman"/>
                <w:noProof/>
                <w:sz w:val="24"/>
                <w:szCs w:val="24"/>
              </w:rPr>
              <w:t>Introduction</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_Toc117501916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27</w:t>
            </w:r>
            <w:r w:rsidR="00F150B4" w:rsidRPr="00BA4A2D">
              <w:rPr>
                <w:rFonts w:ascii="Times New Roman" w:hAnsi="Times New Roman" w:cs="Times New Roman"/>
                <w:noProof/>
                <w:webHidden/>
                <w:sz w:val="24"/>
                <w:szCs w:val="24"/>
              </w:rPr>
              <w:fldChar w:fldCharType="end"/>
            </w:r>
          </w:hyperlink>
        </w:p>
        <w:p w14:paraId="49AB9082" w14:textId="1C8BECBF" w:rsidR="00F150B4" w:rsidRPr="00BA4A2D" w:rsidRDefault="00000000" w:rsidP="00BA4A2D">
          <w:pPr>
            <w:pStyle w:val="TOC2"/>
            <w:rPr>
              <w:rFonts w:ascii="Times New Roman" w:hAnsi="Times New Roman" w:cs="Times New Roman"/>
              <w:noProof/>
              <w:sz w:val="24"/>
              <w:szCs w:val="24"/>
            </w:rPr>
          </w:pPr>
          <w:hyperlink w:anchor="_Toc117501917" w:history="1">
            <w:r w:rsidR="00F150B4" w:rsidRPr="00BA4A2D">
              <w:rPr>
                <w:rStyle w:val="Hyperlink"/>
                <w:rFonts w:ascii="Times New Roman" w:hAnsi="Times New Roman" w:cs="Times New Roman"/>
                <w:noProof/>
                <w:sz w:val="24"/>
                <w:szCs w:val="24"/>
              </w:rPr>
              <w:t>Statement of the Problem</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_Toc117501917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27</w:t>
            </w:r>
            <w:r w:rsidR="00F150B4" w:rsidRPr="00BA4A2D">
              <w:rPr>
                <w:rFonts w:ascii="Times New Roman" w:hAnsi="Times New Roman" w:cs="Times New Roman"/>
                <w:noProof/>
                <w:webHidden/>
                <w:sz w:val="24"/>
                <w:szCs w:val="24"/>
              </w:rPr>
              <w:fldChar w:fldCharType="end"/>
            </w:r>
          </w:hyperlink>
        </w:p>
        <w:p w14:paraId="55D3B540" w14:textId="3F060A38" w:rsidR="00F150B4" w:rsidRPr="00BA4A2D" w:rsidRDefault="00000000" w:rsidP="00BA4A2D">
          <w:pPr>
            <w:pStyle w:val="TOC2"/>
            <w:rPr>
              <w:rFonts w:ascii="Times New Roman" w:hAnsi="Times New Roman" w:cs="Times New Roman"/>
              <w:noProof/>
              <w:sz w:val="24"/>
              <w:szCs w:val="24"/>
            </w:rPr>
          </w:pPr>
          <w:hyperlink w:anchor="_Toc117501918" w:history="1">
            <w:r w:rsidR="00F150B4" w:rsidRPr="00BA4A2D">
              <w:rPr>
                <w:rStyle w:val="Hyperlink"/>
                <w:rFonts w:ascii="Times New Roman" w:hAnsi="Times New Roman" w:cs="Times New Roman"/>
                <w:noProof/>
                <w:sz w:val="24"/>
                <w:szCs w:val="24"/>
              </w:rPr>
              <w:t>Research Questions</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_Toc117501918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28</w:t>
            </w:r>
            <w:r w:rsidR="00F150B4" w:rsidRPr="00BA4A2D">
              <w:rPr>
                <w:rFonts w:ascii="Times New Roman" w:hAnsi="Times New Roman" w:cs="Times New Roman"/>
                <w:noProof/>
                <w:webHidden/>
                <w:sz w:val="24"/>
                <w:szCs w:val="24"/>
              </w:rPr>
              <w:fldChar w:fldCharType="end"/>
            </w:r>
          </w:hyperlink>
        </w:p>
        <w:p w14:paraId="35DD32EA" w14:textId="65C2CDF9" w:rsidR="00F150B4" w:rsidRPr="00BA4A2D" w:rsidRDefault="00000000" w:rsidP="00BA4A2D">
          <w:pPr>
            <w:pStyle w:val="TOC2"/>
            <w:rPr>
              <w:rFonts w:ascii="Times New Roman" w:hAnsi="Times New Roman" w:cs="Times New Roman"/>
              <w:noProof/>
              <w:sz w:val="24"/>
              <w:szCs w:val="24"/>
            </w:rPr>
          </w:pPr>
          <w:hyperlink w:anchor="_Toc117501919" w:history="1">
            <w:r w:rsidR="00F150B4" w:rsidRPr="00BA4A2D">
              <w:rPr>
                <w:rStyle w:val="Hyperlink"/>
                <w:rFonts w:ascii="Times New Roman" w:hAnsi="Times New Roman" w:cs="Times New Roman"/>
                <w:noProof/>
                <w:sz w:val="24"/>
                <w:szCs w:val="24"/>
              </w:rPr>
              <w:t>Research Methodology</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_Toc117501919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29</w:t>
            </w:r>
            <w:r w:rsidR="00F150B4" w:rsidRPr="00BA4A2D">
              <w:rPr>
                <w:rFonts w:ascii="Times New Roman" w:hAnsi="Times New Roman" w:cs="Times New Roman"/>
                <w:noProof/>
                <w:webHidden/>
                <w:sz w:val="24"/>
                <w:szCs w:val="24"/>
              </w:rPr>
              <w:fldChar w:fldCharType="end"/>
            </w:r>
          </w:hyperlink>
        </w:p>
        <w:p w14:paraId="01F70C9C" w14:textId="7D64BC2B" w:rsidR="00F150B4" w:rsidRPr="00BA4A2D" w:rsidRDefault="00000000" w:rsidP="00BA4A2D">
          <w:pPr>
            <w:pStyle w:val="TOC2"/>
            <w:rPr>
              <w:rFonts w:ascii="Times New Roman" w:hAnsi="Times New Roman" w:cs="Times New Roman"/>
              <w:noProof/>
              <w:sz w:val="24"/>
              <w:szCs w:val="24"/>
            </w:rPr>
          </w:pPr>
          <w:hyperlink w:anchor="_Toc117501920" w:history="1">
            <w:r w:rsidR="00F150B4" w:rsidRPr="00BA4A2D">
              <w:rPr>
                <w:rStyle w:val="Hyperlink"/>
                <w:rFonts w:ascii="Times New Roman" w:hAnsi="Times New Roman" w:cs="Times New Roman"/>
                <w:noProof/>
                <w:sz w:val="24"/>
                <w:szCs w:val="24"/>
              </w:rPr>
              <w:t>Research Design</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_Toc117501920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29</w:t>
            </w:r>
            <w:r w:rsidR="00F150B4" w:rsidRPr="00BA4A2D">
              <w:rPr>
                <w:rFonts w:ascii="Times New Roman" w:hAnsi="Times New Roman" w:cs="Times New Roman"/>
                <w:noProof/>
                <w:webHidden/>
                <w:sz w:val="24"/>
                <w:szCs w:val="24"/>
              </w:rPr>
              <w:fldChar w:fldCharType="end"/>
            </w:r>
          </w:hyperlink>
        </w:p>
        <w:p w14:paraId="7DAB68BA" w14:textId="1C93C159" w:rsidR="00F150B4" w:rsidRPr="00BA4A2D" w:rsidRDefault="00000000" w:rsidP="00BA4A2D">
          <w:pPr>
            <w:pStyle w:val="TOC2"/>
            <w:rPr>
              <w:rFonts w:ascii="Times New Roman" w:hAnsi="Times New Roman" w:cs="Times New Roman"/>
              <w:noProof/>
              <w:sz w:val="24"/>
              <w:szCs w:val="24"/>
            </w:rPr>
          </w:pPr>
          <w:hyperlink w:anchor="_Toc117501921" w:history="1">
            <w:r w:rsidR="00F150B4" w:rsidRPr="00BA4A2D">
              <w:rPr>
                <w:rStyle w:val="Hyperlink"/>
                <w:rFonts w:ascii="Times New Roman" w:hAnsi="Times New Roman" w:cs="Times New Roman"/>
                <w:noProof/>
                <w:sz w:val="24"/>
                <w:szCs w:val="24"/>
              </w:rPr>
              <w:t>Study Population and Sample Selection</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_Toc117501921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31</w:t>
            </w:r>
            <w:r w:rsidR="00F150B4" w:rsidRPr="00BA4A2D">
              <w:rPr>
                <w:rFonts w:ascii="Times New Roman" w:hAnsi="Times New Roman" w:cs="Times New Roman"/>
                <w:noProof/>
                <w:webHidden/>
                <w:sz w:val="24"/>
                <w:szCs w:val="24"/>
              </w:rPr>
              <w:fldChar w:fldCharType="end"/>
            </w:r>
          </w:hyperlink>
        </w:p>
        <w:p w14:paraId="33DDA048" w14:textId="6B6D3365" w:rsidR="00F150B4" w:rsidRPr="00BA4A2D" w:rsidRDefault="00000000" w:rsidP="00BA4A2D">
          <w:pPr>
            <w:pStyle w:val="TOC2"/>
            <w:rPr>
              <w:rFonts w:ascii="Times New Roman" w:hAnsi="Times New Roman" w:cs="Times New Roman"/>
              <w:noProof/>
              <w:sz w:val="24"/>
              <w:szCs w:val="24"/>
            </w:rPr>
          </w:pPr>
          <w:hyperlink w:anchor="_Toc117501922" w:history="1">
            <w:r w:rsidR="00F150B4" w:rsidRPr="00BA4A2D">
              <w:rPr>
                <w:rStyle w:val="Hyperlink"/>
                <w:rFonts w:ascii="Times New Roman" w:hAnsi="Times New Roman" w:cs="Times New Roman"/>
                <w:noProof/>
                <w:sz w:val="24"/>
                <w:szCs w:val="24"/>
              </w:rPr>
              <w:t>Instrumentation</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_Toc117501922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33</w:t>
            </w:r>
            <w:r w:rsidR="00F150B4" w:rsidRPr="00BA4A2D">
              <w:rPr>
                <w:rFonts w:ascii="Times New Roman" w:hAnsi="Times New Roman" w:cs="Times New Roman"/>
                <w:noProof/>
                <w:webHidden/>
                <w:sz w:val="24"/>
                <w:szCs w:val="24"/>
              </w:rPr>
              <w:fldChar w:fldCharType="end"/>
            </w:r>
          </w:hyperlink>
        </w:p>
        <w:p w14:paraId="585ACC89" w14:textId="57598F25" w:rsidR="00F150B4" w:rsidRPr="00BA4A2D" w:rsidRDefault="00000000" w:rsidP="00BA4A2D">
          <w:pPr>
            <w:pStyle w:val="TOC2"/>
            <w:rPr>
              <w:rFonts w:ascii="Times New Roman" w:hAnsi="Times New Roman" w:cs="Times New Roman"/>
              <w:noProof/>
              <w:sz w:val="24"/>
              <w:szCs w:val="24"/>
            </w:rPr>
          </w:pPr>
          <w:hyperlink w:anchor="_Toc117501923" w:history="1">
            <w:r w:rsidR="00F150B4" w:rsidRPr="00BA4A2D">
              <w:rPr>
                <w:rStyle w:val="Hyperlink"/>
                <w:rFonts w:ascii="Times New Roman" w:hAnsi="Times New Roman" w:cs="Times New Roman"/>
                <w:noProof/>
                <w:sz w:val="24"/>
                <w:szCs w:val="24"/>
              </w:rPr>
              <w:t>Validity and Reliability</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_Toc117501923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36</w:t>
            </w:r>
            <w:r w:rsidR="00F150B4" w:rsidRPr="00BA4A2D">
              <w:rPr>
                <w:rFonts w:ascii="Times New Roman" w:hAnsi="Times New Roman" w:cs="Times New Roman"/>
                <w:noProof/>
                <w:webHidden/>
                <w:sz w:val="24"/>
                <w:szCs w:val="24"/>
              </w:rPr>
              <w:fldChar w:fldCharType="end"/>
            </w:r>
          </w:hyperlink>
        </w:p>
        <w:p w14:paraId="2E659091" w14:textId="21D5562F" w:rsidR="00F150B4" w:rsidRPr="00BA4A2D" w:rsidRDefault="00000000" w:rsidP="00BA4A2D">
          <w:pPr>
            <w:pStyle w:val="TOC2"/>
            <w:rPr>
              <w:rFonts w:ascii="Times New Roman" w:hAnsi="Times New Roman" w:cs="Times New Roman"/>
              <w:noProof/>
              <w:sz w:val="24"/>
              <w:szCs w:val="24"/>
            </w:rPr>
          </w:pPr>
          <w:hyperlink w:anchor="_Toc117501924" w:history="1">
            <w:r w:rsidR="00F150B4" w:rsidRPr="00BA4A2D">
              <w:rPr>
                <w:rStyle w:val="Hyperlink"/>
                <w:rFonts w:ascii="Times New Roman" w:hAnsi="Times New Roman" w:cs="Times New Roman"/>
                <w:noProof/>
                <w:sz w:val="24"/>
                <w:szCs w:val="24"/>
              </w:rPr>
              <w:t>Data Collection Procedures</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_Toc117501924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37</w:t>
            </w:r>
            <w:r w:rsidR="00F150B4" w:rsidRPr="00BA4A2D">
              <w:rPr>
                <w:rFonts w:ascii="Times New Roman" w:hAnsi="Times New Roman" w:cs="Times New Roman"/>
                <w:noProof/>
                <w:webHidden/>
                <w:sz w:val="24"/>
                <w:szCs w:val="24"/>
              </w:rPr>
              <w:fldChar w:fldCharType="end"/>
            </w:r>
          </w:hyperlink>
        </w:p>
        <w:p w14:paraId="0967DAA1" w14:textId="10581774" w:rsidR="00F150B4" w:rsidRPr="00BA4A2D" w:rsidRDefault="00000000" w:rsidP="00BA4A2D">
          <w:pPr>
            <w:pStyle w:val="TOC2"/>
            <w:rPr>
              <w:rFonts w:ascii="Times New Roman" w:hAnsi="Times New Roman" w:cs="Times New Roman"/>
              <w:noProof/>
              <w:sz w:val="24"/>
              <w:szCs w:val="24"/>
            </w:rPr>
          </w:pPr>
          <w:hyperlink w:anchor="_Toc117501925" w:history="1">
            <w:r w:rsidR="00F150B4" w:rsidRPr="00BA4A2D">
              <w:rPr>
                <w:rStyle w:val="Hyperlink"/>
                <w:rFonts w:ascii="Times New Roman" w:hAnsi="Times New Roman" w:cs="Times New Roman"/>
                <w:noProof/>
                <w:sz w:val="24"/>
                <w:szCs w:val="24"/>
              </w:rPr>
              <w:t>Data Analysis</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_Toc117501925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38</w:t>
            </w:r>
            <w:r w:rsidR="00F150B4" w:rsidRPr="00BA4A2D">
              <w:rPr>
                <w:rFonts w:ascii="Times New Roman" w:hAnsi="Times New Roman" w:cs="Times New Roman"/>
                <w:noProof/>
                <w:webHidden/>
                <w:sz w:val="24"/>
                <w:szCs w:val="24"/>
              </w:rPr>
              <w:fldChar w:fldCharType="end"/>
            </w:r>
          </w:hyperlink>
        </w:p>
        <w:p w14:paraId="703AFEB2" w14:textId="1E887078" w:rsidR="00F150B4" w:rsidRPr="00BA4A2D" w:rsidRDefault="00000000" w:rsidP="00BA4A2D">
          <w:pPr>
            <w:pStyle w:val="TOC2"/>
            <w:rPr>
              <w:rFonts w:ascii="Times New Roman" w:hAnsi="Times New Roman" w:cs="Times New Roman"/>
              <w:noProof/>
              <w:sz w:val="24"/>
              <w:szCs w:val="24"/>
            </w:rPr>
          </w:pPr>
          <w:hyperlink w:anchor="_Toc117501926" w:history="1">
            <w:r w:rsidR="00F150B4" w:rsidRPr="00BA4A2D">
              <w:rPr>
                <w:rStyle w:val="Hyperlink"/>
                <w:rFonts w:ascii="Times New Roman" w:hAnsi="Times New Roman" w:cs="Times New Roman"/>
                <w:noProof/>
                <w:sz w:val="24"/>
                <w:szCs w:val="24"/>
              </w:rPr>
              <w:t>Limitations</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_Toc117501926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43</w:t>
            </w:r>
            <w:r w:rsidR="00F150B4" w:rsidRPr="00BA4A2D">
              <w:rPr>
                <w:rFonts w:ascii="Times New Roman" w:hAnsi="Times New Roman" w:cs="Times New Roman"/>
                <w:noProof/>
                <w:webHidden/>
                <w:sz w:val="24"/>
                <w:szCs w:val="24"/>
              </w:rPr>
              <w:fldChar w:fldCharType="end"/>
            </w:r>
          </w:hyperlink>
        </w:p>
        <w:p w14:paraId="2249D2F3" w14:textId="734F6F53" w:rsidR="00F150B4" w:rsidRPr="00BA4A2D" w:rsidRDefault="00000000" w:rsidP="00BA4A2D">
          <w:pPr>
            <w:pStyle w:val="TOC2"/>
            <w:rPr>
              <w:rFonts w:ascii="Times New Roman" w:hAnsi="Times New Roman" w:cs="Times New Roman"/>
              <w:noProof/>
              <w:sz w:val="24"/>
              <w:szCs w:val="24"/>
            </w:rPr>
          </w:pPr>
          <w:hyperlink w:anchor="_Toc117501927" w:history="1">
            <w:r w:rsidR="00F150B4" w:rsidRPr="00BA4A2D">
              <w:rPr>
                <w:rStyle w:val="Hyperlink"/>
                <w:rFonts w:ascii="Times New Roman" w:hAnsi="Times New Roman" w:cs="Times New Roman"/>
                <w:noProof/>
                <w:sz w:val="24"/>
                <w:szCs w:val="24"/>
              </w:rPr>
              <w:t>Summary</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_Toc117501927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44</w:t>
            </w:r>
            <w:r w:rsidR="00F150B4" w:rsidRPr="00BA4A2D">
              <w:rPr>
                <w:rFonts w:ascii="Times New Roman" w:hAnsi="Times New Roman" w:cs="Times New Roman"/>
                <w:noProof/>
                <w:webHidden/>
                <w:sz w:val="24"/>
                <w:szCs w:val="24"/>
              </w:rPr>
              <w:fldChar w:fldCharType="end"/>
            </w:r>
          </w:hyperlink>
        </w:p>
        <w:p w14:paraId="052E777E" w14:textId="496ECB26" w:rsidR="00F150B4" w:rsidRPr="00BA4A2D" w:rsidRDefault="00000000" w:rsidP="00BA4A2D">
          <w:pPr>
            <w:pStyle w:val="TOC1"/>
            <w:tabs>
              <w:tab w:val="right" w:leader="dot" w:pos="9350"/>
            </w:tabs>
            <w:spacing w:after="0" w:line="480" w:lineRule="auto"/>
            <w:rPr>
              <w:rFonts w:ascii="Times New Roman" w:hAnsi="Times New Roman" w:cs="Times New Roman"/>
              <w:noProof/>
              <w:sz w:val="24"/>
              <w:szCs w:val="24"/>
            </w:rPr>
          </w:pPr>
          <w:hyperlink w:anchor="_Toc117501928" w:history="1">
            <w:r w:rsidR="00F150B4" w:rsidRPr="00BA4A2D">
              <w:rPr>
                <w:rStyle w:val="Hyperlink"/>
                <w:rFonts w:ascii="Times New Roman" w:hAnsi="Times New Roman" w:cs="Times New Roman"/>
                <w:noProof/>
                <w:sz w:val="24"/>
                <w:szCs w:val="24"/>
              </w:rPr>
              <w:t>Chapter 4: Data Analysis and Results</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_Toc117501928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46</w:t>
            </w:r>
            <w:r w:rsidR="00F150B4" w:rsidRPr="00BA4A2D">
              <w:rPr>
                <w:rFonts w:ascii="Times New Roman" w:hAnsi="Times New Roman" w:cs="Times New Roman"/>
                <w:noProof/>
                <w:webHidden/>
                <w:sz w:val="24"/>
                <w:szCs w:val="24"/>
              </w:rPr>
              <w:fldChar w:fldCharType="end"/>
            </w:r>
          </w:hyperlink>
        </w:p>
        <w:p w14:paraId="62AACDA0" w14:textId="3A743E5B" w:rsidR="00F150B4" w:rsidRPr="00BA4A2D" w:rsidRDefault="00000000" w:rsidP="00BA4A2D">
          <w:pPr>
            <w:pStyle w:val="TOC2"/>
            <w:rPr>
              <w:rFonts w:ascii="Times New Roman" w:hAnsi="Times New Roman" w:cs="Times New Roman"/>
              <w:noProof/>
              <w:sz w:val="24"/>
              <w:szCs w:val="24"/>
            </w:rPr>
          </w:pPr>
          <w:hyperlink w:anchor="_Toc117501929" w:history="1">
            <w:r w:rsidR="00F150B4" w:rsidRPr="00BA4A2D">
              <w:rPr>
                <w:rStyle w:val="Hyperlink"/>
                <w:rFonts w:ascii="Times New Roman" w:hAnsi="Times New Roman" w:cs="Times New Roman"/>
                <w:noProof/>
                <w:sz w:val="24"/>
                <w:szCs w:val="24"/>
              </w:rPr>
              <w:t>Introduction</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_Toc117501929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46</w:t>
            </w:r>
            <w:r w:rsidR="00F150B4" w:rsidRPr="00BA4A2D">
              <w:rPr>
                <w:rFonts w:ascii="Times New Roman" w:hAnsi="Times New Roman" w:cs="Times New Roman"/>
                <w:noProof/>
                <w:webHidden/>
                <w:sz w:val="24"/>
                <w:szCs w:val="24"/>
              </w:rPr>
              <w:fldChar w:fldCharType="end"/>
            </w:r>
          </w:hyperlink>
        </w:p>
        <w:p w14:paraId="4D9F5D73" w14:textId="188902D3" w:rsidR="00F150B4" w:rsidRPr="00BA4A2D" w:rsidRDefault="00000000" w:rsidP="00BA4A2D">
          <w:pPr>
            <w:pStyle w:val="TOC2"/>
            <w:rPr>
              <w:rFonts w:ascii="Times New Roman" w:hAnsi="Times New Roman" w:cs="Times New Roman"/>
              <w:noProof/>
              <w:sz w:val="24"/>
              <w:szCs w:val="24"/>
            </w:rPr>
          </w:pPr>
          <w:hyperlink w:anchor="_Toc117501930" w:history="1">
            <w:r w:rsidR="00F150B4" w:rsidRPr="00BA4A2D">
              <w:rPr>
                <w:rStyle w:val="Hyperlink"/>
                <w:rFonts w:ascii="Times New Roman" w:hAnsi="Times New Roman" w:cs="Times New Roman"/>
                <w:noProof/>
                <w:sz w:val="24"/>
                <w:szCs w:val="24"/>
              </w:rPr>
              <w:t>Analysis Procedure</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_Toc117501930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47</w:t>
            </w:r>
            <w:r w:rsidR="00F150B4" w:rsidRPr="00BA4A2D">
              <w:rPr>
                <w:rFonts w:ascii="Times New Roman" w:hAnsi="Times New Roman" w:cs="Times New Roman"/>
                <w:noProof/>
                <w:webHidden/>
                <w:sz w:val="24"/>
                <w:szCs w:val="24"/>
              </w:rPr>
              <w:fldChar w:fldCharType="end"/>
            </w:r>
          </w:hyperlink>
        </w:p>
        <w:p w14:paraId="75D0D4F3" w14:textId="5B3E235B" w:rsidR="00F150B4" w:rsidRPr="00BA4A2D" w:rsidRDefault="00000000" w:rsidP="00BA4A2D">
          <w:pPr>
            <w:pStyle w:val="TOC2"/>
            <w:rPr>
              <w:rFonts w:ascii="Times New Roman" w:hAnsi="Times New Roman" w:cs="Times New Roman"/>
              <w:noProof/>
              <w:sz w:val="24"/>
              <w:szCs w:val="24"/>
            </w:rPr>
          </w:pPr>
          <w:hyperlink w:anchor="_Toc117501931" w:history="1">
            <w:r w:rsidR="00F150B4" w:rsidRPr="00BA4A2D">
              <w:rPr>
                <w:rStyle w:val="Hyperlink"/>
                <w:rFonts w:ascii="Times New Roman" w:eastAsia="Times New Roman" w:hAnsi="Times New Roman" w:cs="Times New Roman"/>
                <w:noProof/>
                <w:sz w:val="24"/>
                <w:szCs w:val="24"/>
              </w:rPr>
              <w:t>Results</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_Toc117501931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52</w:t>
            </w:r>
            <w:r w:rsidR="00F150B4" w:rsidRPr="00BA4A2D">
              <w:rPr>
                <w:rFonts w:ascii="Times New Roman" w:hAnsi="Times New Roman" w:cs="Times New Roman"/>
                <w:noProof/>
                <w:webHidden/>
                <w:sz w:val="24"/>
                <w:szCs w:val="24"/>
              </w:rPr>
              <w:fldChar w:fldCharType="end"/>
            </w:r>
          </w:hyperlink>
        </w:p>
        <w:p w14:paraId="678655C0" w14:textId="79DF3791" w:rsidR="00F150B4" w:rsidRPr="00BA4A2D" w:rsidRDefault="00000000" w:rsidP="00BA4A2D">
          <w:pPr>
            <w:pStyle w:val="TOC2"/>
            <w:rPr>
              <w:rFonts w:ascii="Times New Roman" w:hAnsi="Times New Roman" w:cs="Times New Roman"/>
              <w:noProof/>
              <w:sz w:val="24"/>
              <w:szCs w:val="24"/>
            </w:rPr>
          </w:pPr>
          <w:hyperlink w:anchor="_Toc117501932" w:history="1">
            <w:r w:rsidR="00F150B4" w:rsidRPr="00BA4A2D">
              <w:rPr>
                <w:rStyle w:val="Hyperlink"/>
                <w:rFonts w:ascii="Times New Roman" w:hAnsi="Times New Roman" w:cs="Times New Roman"/>
                <w:noProof/>
                <w:sz w:val="24"/>
                <w:szCs w:val="24"/>
              </w:rPr>
              <w:t>Summary</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_Toc117501932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56</w:t>
            </w:r>
            <w:r w:rsidR="00F150B4" w:rsidRPr="00BA4A2D">
              <w:rPr>
                <w:rFonts w:ascii="Times New Roman" w:hAnsi="Times New Roman" w:cs="Times New Roman"/>
                <w:noProof/>
                <w:webHidden/>
                <w:sz w:val="24"/>
                <w:szCs w:val="24"/>
              </w:rPr>
              <w:fldChar w:fldCharType="end"/>
            </w:r>
          </w:hyperlink>
        </w:p>
        <w:p w14:paraId="2794A11C" w14:textId="0363A9E5" w:rsidR="00F150B4" w:rsidRPr="00BA4A2D" w:rsidRDefault="00000000" w:rsidP="00BA4A2D">
          <w:pPr>
            <w:pStyle w:val="TOC1"/>
            <w:tabs>
              <w:tab w:val="right" w:leader="dot" w:pos="9350"/>
            </w:tabs>
            <w:spacing w:after="0" w:line="480" w:lineRule="auto"/>
            <w:rPr>
              <w:rFonts w:ascii="Times New Roman" w:hAnsi="Times New Roman" w:cs="Times New Roman"/>
              <w:noProof/>
              <w:sz w:val="24"/>
              <w:szCs w:val="24"/>
            </w:rPr>
          </w:pPr>
          <w:hyperlink w:anchor="_Toc117501933" w:history="1">
            <w:r w:rsidR="00F150B4" w:rsidRPr="00BA4A2D">
              <w:rPr>
                <w:rStyle w:val="Hyperlink"/>
                <w:rFonts w:ascii="Times New Roman" w:hAnsi="Times New Roman" w:cs="Times New Roman"/>
                <w:noProof/>
                <w:sz w:val="24"/>
                <w:szCs w:val="24"/>
              </w:rPr>
              <w:t>Chapter 5: Discussion and Conclusions</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_Toc117501933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58</w:t>
            </w:r>
            <w:r w:rsidR="00F150B4" w:rsidRPr="00BA4A2D">
              <w:rPr>
                <w:rFonts w:ascii="Times New Roman" w:hAnsi="Times New Roman" w:cs="Times New Roman"/>
                <w:noProof/>
                <w:webHidden/>
                <w:sz w:val="24"/>
                <w:szCs w:val="24"/>
              </w:rPr>
              <w:fldChar w:fldCharType="end"/>
            </w:r>
          </w:hyperlink>
        </w:p>
        <w:p w14:paraId="0BF57A67" w14:textId="21795F2E" w:rsidR="00F150B4" w:rsidRPr="00BA4A2D" w:rsidRDefault="00000000" w:rsidP="00BA4A2D">
          <w:pPr>
            <w:pStyle w:val="TOC2"/>
            <w:rPr>
              <w:rFonts w:ascii="Times New Roman" w:hAnsi="Times New Roman" w:cs="Times New Roman"/>
              <w:noProof/>
              <w:sz w:val="24"/>
              <w:szCs w:val="24"/>
            </w:rPr>
          </w:pPr>
          <w:hyperlink w:anchor="_Toc117501934" w:history="1">
            <w:r w:rsidR="00F150B4" w:rsidRPr="00BA4A2D">
              <w:rPr>
                <w:rStyle w:val="Hyperlink"/>
                <w:rFonts w:ascii="Times New Roman" w:hAnsi="Times New Roman" w:cs="Times New Roman"/>
                <w:noProof/>
                <w:sz w:val="24"/>
                <w:szCs w:val="24"/>
              </w:rPr>
              <w:t>Introduction</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_Toc117501934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58</w:t>
            </w:r>
            <w:r w:rsidR="00F150B4" w:rsidRPr="00BA4A2D">
              <w:rPr>
                <w:rFonts w:ascii="Times New Roman" w:hAnsi="Times New Roman" w:cs="Times New Roman"/>
                <w:noProof/>
                <w:webHidden/>
                <w:sz w:val="24"/>
                <w:szCs w:val="24"/>
              </w:rPr>
              <w:fldChar w:fldCharType="end"/>
            </w:r>
          </w:hyperlink>
        </w:p>
        <w:p w14:paraId="636582FA" w14:textId="484528E6" w:rsidR="00F150B4" w:rsidRPr="00BA4A2D" w:rsidRDefault="00000000" w:rsidP="00BA4A2D">
          <w:pPr>
            <w:pStyle w:val="TOC2"/>
            <w:rPr>
              <w:rFonts w:ascii="Times New Roman" w:hAnsi="Times New Roman" w:cs="Times New Roman"/>
              <w:noProof/>
              <w:sz w:val="24"/>
              <w:szCs w:val="24"/>
            </w:rPr>
          </w:pPr>
          <w:hyperlink w:anchor="_Toc117501935" w:history="1">
            <w:r w:rsidR="00F150B4" w:rsidRPr="00BA4A2D">
              <w:rPr>
                <w:rStyle w:val="Hyperlink"/>
                <w:rFonts w:ascii="Times New Roman" w:hAnsi="Times New Roman" w:cs="Times New Roman"/>
                <w:noProof/>
                <w:sz w:val="24"/>
                <w:szCs w:val="24"/>
              </w:rPr>
              <w:t>Discussion and Interpretation for Research Question #1</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_Toc117501935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58</w:t>
            </w:r>
            <w:r w:rsidR="00F150B4" w:rsidRPr="00BA4A2D">
              <w:rPr>
                <w:rFonts w:ascii="Times New Roman" w:hAnsi="Times New Roman" w:cs="Times New Roman"/>
                <w:noProof/>
                <w:webHidden/>
                <w:sz w:val="24"/>
                <w:szCs w:val="24"/>
              </w:rPr>
              <w:fldChar w:fldCharType="end"/>
            </w:r>
          </w:hyperlink>
        </w:p>
        <w:p w14:paraId="485EAE8D" w14:textId="203EDA72" w:rsidR="00F150B4" w:rsidRPr="00BA4A2D" w:rsidRDefault="00000000" w:rsidP="00BA4A2D">
          <w:pPr>
            <w:pStyle w:val="TOC2"/>
            <w:rPr>
              <w:rFonts w:ascii="Times New Roman" w:hAnsi="Times New Roman" w:cs="Times New Roman"/>
              <w:noProof/>
              <w:sz w:val="24"/>
              <w:szCs w:val="24"/>
            </w:rPr>
          </w:pPr>
          <w:hyperlink w:anchor="_Toc117501936" w:history="1">
            <w:r w:rsidR="00F150B4" w:rsidRPr="00BA4A2D">
              <w:rPr>
                <w:rStyle w:val="Hyperlink"/>
                <w:rFonts w:ascii="Times New Roman" w:hAnsi="Times New Roman" w:cs="Times New Roman"/>
                <w:noProof/>
                <w:sz w:val="24"/>
                <w:szCs w:val="24"/>
              </w:rPr>
              <w:t>Implications and Recommendations</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_Toc117501936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61</w:t>
            </w:r>
            <w:r w:rsidR="00F150B4" w:rsidRPr="00BA4A2D">
              <w:rPr>
                <w:rFonts w:ascii="Times New Roman" w:hAnsi="Times New Roman" w:cs="Times New Roman"/>
                <w:noProof/>
                <w:webHidden/>
                <w:sz w:val="24"/>
                <w:szCs w:val="24"/>
              </w:rPr>
              <w:fldChar w:fldCharType="end"/>
            </w:r>
          </w:hyperlink>
        </w:p>
        <w:p w14:paraId="735B291E" w14:textId="264F078E" w:rsidR="00F150B4" w:rsidRPr="00BA4A2D" w:rsidRDefault="00000000" w:rsidP="00BA4A2D">
          <w:pPr>
            <w:pStyle w:val="TOC2"/>
            <w:rPr>
              <w:rFonts w:ascii="Times New Roman" w:hAnsi="Times New Roman" w:cs="Times New Roman"/>
              <w:noProof/>
              <w:sz w:val="24"/>
              <w:szCs w:val="24"/>
            </w:rPr>
          </w:pPr>
          <w:hyperlink w:anchor="_Toc117501937" w:history="1">
            <w:r w:rsidR="00F150B4" w:rsidRPr="00BA4A2D">
              <w:rPr>
                <w:rStyle w:val="Hyperlink"/>
                <w:rFonts w:ascii="Times New Roman" w:hAnsi="Times New Roman" w:cs="Times New Roman"/>
                <w:noProof/>
                <w:sz w:val="24"/>
                <w:szCs w:val="24"/>
              </w:rPr>
              <w:t>Recommendations for Future Research</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_Toc117501937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63</w:t>
            </w:r>
            <w:r w:rsidR="00F150B4" w:rsidRPr="00BA4A2D">
              <w:rPr>
                <w:rFonts w:ascii="Times New Roman" w:hAnsi="Times New Roman" w:cs="Times New Roman"/>
                <w:noProof/>
                <w:webHidden/>
                <w:sz w:val="24"/>
                <w:szCs w:val="24"/>
              </w:rPr>
              <w:fldChar w:fldCharType="end"/>
            </w:r>
          </w:hyperlink>
        </w:p>
        <w:p w14:paraId="0B455232" w14:textId="40E198A5" w:rsidR="00F150B4" w:rsidRPr="00BA4A2D" w:rsidRDefault="00000000" w:rsidP="00BA4A2D">
          <w:pPr>
            <w:pStyle w:val="TOC2"/>
            <w:rPr>
              <w:rFonts w:ascii="Times New Roman" w:hAnsi="Times New Roman" w:cs="Times New Roman"/>
              <w:noProof/>
              <w:sz w:val="24"/>
              <w:szCs w:val="24"/>
            </w:rPr>
          </w:pPr>
          <w:hyperlink w:anchor="_Toc117501938" w:history="1">
            <w:r w:rsidR="00F150B4" w:rsidRPr="00BA4A2D">
              <w:rPr>
                <w:rStyle w:val="Hyperlink"/>
                <w:rFonts w:ascii="Times New Roman" w:hAnsi="Times New Roman" w:cs="Times New Roman"/>
                <w:noProof/>
                <w:sz w:val="24"/>
                <w:szCs w:val="24"/>
              </w:rPr>
              <w:t>Conclusion</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_Toc117501938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65</w:t>
            </w:r>
            <w:r w:rsidR="00F150B4" w:rsidRPr="00BA4A2D">
              <w:rPr>
                <w:rFonts w:ascii="Times New Roman" w:hAnsi="Times New Roman" w:cs="Times New Roman"/>
                <w:noProof/>
                <w:webHidden/>
                <w:sz w:val="24"/>
                <w:szCs w:val="24"/>
              </w:rPr>
              <w:fldChar w:fldCharType="end"/>
            </w:r>
          </w:hyperlink>
        </w:p>
        <w:p w14:paraId="7D6F0A06" w14:textId="29A9C56A" w:rsidR="00F150B4" w:rsidRPr="00BA4A2D" w:rsidRDefault="00000000" w:rsidP="00BA4A2D">
          <w:pPr>
            <w:pStyle w:val="TOC1"/>
            <w:tabs>
              <w:tab w:val="right" w:leader="dot" w:pos="9350"/>
            </w:tabs>
            <w:spacing w:after="0" w:line="480" w:lineRule="auto"/>
            <w:rPr>
              <w:rFonts w:ascii="Times New Roman" w:hAnsi="Times New Roman" w:cs="Times New Roman"/>
              <w:noProof/>
              <w:sz w:val="24"/>
              <w:szCs w:val="24"/>
            </w:rPr>
          </w:pPr>
          <w:hyperlink w:anchor="_Toc117501939" w:history="1">
            <w:r w:rsidR="00F150B4" w:rsidRPr="00BA4A2D">
              <w:rPr>
                <w:rStyle w:val="Hyperlink"/>
                <w:rFonts w:ascii="Times New Roman" w:hAnsi="Times New Roman" w:cs="Times New Roman"/>
                <w:noProof/>
                <w:sz w:val="24"/>
                <w:szCs w:val="24"/>
              </w:rPr>
              <w:t>References</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_Toc117501939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68</w:t>
            </w:r>
            <w:r w:rsidR="00F150B4" w:rsidRPr="00BA4A2D">
              <w:rPr>
                <w:rFonts w:ascii="Times New Roman" w:hAnsi="Times New Roman" w:cs="Times New Roman"/>
                <w:noProof/>
                <w:webHidden/>
                <w:sz w:val="24"/>
                <w:szCs w:val="24"/>
              </w:rPr>
              <w:fldChar w:fldCharType="end"/>
            </w:r>
          </w:hyperlink>
        </w:p>
        <w:p w14:paraId="27E07B6C" w14:textId="71073451" w:rsidR="00F150B4" w:rsidRPr="00BA4A2D" w:rsidRDefault="00000000" w:rsidP="00BA4A2D">
          <w:pPr>
            <w:pStyle w:val="TOC1"/>
            <w:tabs>
              <w:tab w:val="right" w:leader="dot" w:pos="9350"/>
            </w:tabs>
            <w:spacing w:after="0" w:line="480" w:lineRule="auto"/>
            <w:rPr>
              <w:rFonts w:ascii="Times New Roman" w:hAnsi="Times New Roman" w:cs="Times New Roman"/>
              <w:noProof/>
              <w:sz w:val="24"/>
              <w:szCs w:val="24"/>
            </w:rPr>
          </w:pPr>
          <w:hyperlink w:anchor="_Toc117501940" w:history="1">
            <w:r w:rsidR="00F150B4" w:rsidRPr="00BA4A2D">
              <w:rPr>
                <w:rStyle w:val="Hyperlink"/>
                <w:rFonts w:ascii="Times New Roman" w:hAnsi="Times New Roman" w:cs="Times New Roman"/>
                <w:noProof/>
                <w:sz w:val="24"/>
                <w:szCs w:val="24"/>
              </w:rPr>
              <w:t>Appendix A</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_Toc117501940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80</w:t>
            </w:r>
            <w:r w:rsidR="00F150B4" w:rsidRPr="00BA4A2D">
              <w:rPr>
                <w:rFonts w:ascii="Times New Roman" w:hAnsi="Times New Roman" w:cs="Times New Roman"/>
                <w:noProof/>
                <w:webHidden/>
                <w:sz w:val="24"/>
                <w:szCs w:val="24"/>
              </w:rPr>
              <w:fldChar w:fldCharType="end"/>
            </w:r>
          </w:hyperlink>
        </w:p>
        <w:p w14:paraId="69EB9FCB" w14:textId="3C6F0C33" w:rsidR="00F150B4" w:rsidRPr="00BA4A2D" w:rsidRDefault="00000000" w:rsidP="00BA4A2D">
          <w:pPr>
            <w:pStyle w:val="TOC1"/>
            <w:tabs>
              <w:tab w:val="right" w:leader="dot" w:pos="9350"/>
            </w:tabs>
            <w:spacing w:after="0" w:line="480" w:lineRule="auto"/>
            <w:rPr>
              <w:rFonts w:ascii="Times New Roman" w:hAnsi="Times New Roman" w:cs="Times New Roman"/>
              <w:noProof/>
              <w:sz w:val="24"/>
              <w:szCs w:val="24"/>
            </w:rPr>
          </w:pPr>
          <w:hyperlink w:anchor="_Toc117501941" w:history="1">
            <w:r w:rsidR="00F150B4" w:rsidRPr="00BA4A2D">
              <w:rPr>
                <w:rStyle w:val="Hyperlink"/>
                <w:rFonts w:ascii="Times New Roman" w:hAnsi="Times New Roman" w:cs="Times New Roman"/>
                <w:noProof/>
                <w:sz w:val="24"/>
                <w:szCs w:val="24"/>
              </w:rPr>
              <w:t>Appendix B</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_Toc117501941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81</w:t>
            </w:r>
            <w:r w:rsidR="00F150B4" w:rsidRPr="00BA4A2D">
              <w:rPr>
                <w:rFonts w:ascii="Times New Roman" w:hAnsi="Times New Roman" w:cs="Times New Roman"/>
                <w:noProof/>
                <w:webHidden/>
                <w:sz w:val="24"/>
                <w:szCs w:val="24"/>
              </w:rPr>
              <w:fldChar w:fldCharType="end"/>
            </w:r>
          </w:hyperlink>
        </w:p>
        <w:p w14:paraId="0F5E2C7B" w14:textId="0B33D546" w:rsidR="00F150B4" w:rsidRPr="00BA4A2D" w:rsidRDefault="00000000" w:rsidP="00BA4A2D">
          <w:pPr>
            <w:pStyle w:val="TOC1"/>
            <w:tabs>
              <w:tab w:val="right" w:leader="dot" w:pos="9350"/>
            </w:tabs>
            <w:spacing w:after="0" w:line="480" w:lineRule="auto"/>
            <w:rPr>
              <w:rFonts w:ascii="Times New Roman" w:hAnsi="Times New Roman" w:cs="Times New Roman"/>
              <w:noProof/>
              <w:sz w:val="24"/>
              <w:szCs w:val="24"/>
            </w:rPr>
          </w:pPr>
          <w:hyperlink w:anchor="_Toc117501942" w:history="1">
            <w:r w:rsidR="00F150B4" w:rsidRPr="00BA4A2D">
              <w:rPr>
                <w:rStyle w:val="Hyperlink"/>
                <w:rFonts w:ascii="Times New Roman" w:hAnsi="Times New Roman" w:cs="Times New Roman"/>
                <w:noProof/>
                <w:sz w:val="24"/>
                <w:szCs w:val="24"/>
              </w:rPr>
              <w:t>Appendix C</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_Toc117501942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91</w:t>
            </w:r>
            <w:r w:rsidR="00F150B4" w:rsidRPr="00BA4A2D">
              <w:rPr>
                <w:rFonts w:ascii="Times New Roman" w:hAnsi="Times New Roman" w:cs="Times New Roman"/>
                <w:noProof/>
                <w:webHidden/>
                <w:sz w:val="24"/>
                <w:szCs w:val="24"/>
              </w:rPr>
              <w:fldChar w:fldCharType="end"/>
            </w:r>
          </w:hyperlink>
        </w:p>
        <w:p w14:paraId="2ADD1638" w14:textId="5E89A29D" w:rsidR="00F150B4" w:rsidRPr="00BA4A2D" w:rsidRDefault="00000000" w:rsidP="00BA4A2D">
          <w:pPr>
            <w:pStyle w:val="TOC1"/>
            <w:tabs>
              <w:tab w:val="right" w:leader="dot" w:pos="9350"/>
            </w:tabs>
            <w:spacing w:after="0" w:line="480" w:lineRule="auto"/>
            <w:rPr>
              <w:rFonts w:ascii="Times New Roman" w:hAnsi="Times New Roman" w:cs="Times New Roman"/>
              <w:noProof/>
              <w:sz w:val="24"/>
              <w:szCs w:val="24"/>
            </w:rPr>
          </w:pPr>
          <w:hyperlink w:anchor="_Toc117501943" w:history="1">
            <w:r w:rsidR="00F150B4" w:rsidRPr="00BA4A2D">
              <w:rPr>
                <w:rStyle w:val="Hyperlink"/>
                <w:rFonts w:ascii="Times New Roman" w:hAnsi="Times New Roman" w:cs="Times New Roman"/>
                <w:noProof/>
                <w:sz w:val="24"/>
                <w:szCs w:val="24"/>
              </w:rPr>
              <w:t>Appendix D</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_Toc117501943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95</w:t>
            </w:r>
            <w:r w:rsidR="00F150B4" w:rsidRPr="00BA4A2D">
              <w:rPr>
                <w:rFonts w:ascii="Times New Roman" w:hAnsi="Times New Roman" w:cs="Times New Roman"/>
                <w:noProof/>
                <w:webHidden/>
                <w:sz w:val="24"/>
                <w:szCs w:val="24"/>
              </w:rPr>
              <w:fldChar w:fldCharType="end"/>
            </w:r>
          </w:hyperlink>
        </w:p>
        <w:p w14:paraId="7EAA2A45" w14:textId="6130461D" w:rsidR="00F150B4" w:rsidRPr="00BA4A2D" w:rsidRDefault="00000000" w:rsidP="00BA4A2D">
          <w:pPr>
            <w:pStyle w:val="TOC1"/>
            <w:tabs>
              <w:tab w:val="right" w:leader="dot" w:pos="9350"/>
            </w:tabs>
            <w:spacing w:after="0" w:line="480" w:lineRule="auto"/>
            <w:rPr>
              <w:rFonts w:ascii="Times New Roman" w:hAnsi="Times New Roman" w:cs="Times New Roman"/>
              <w:noProof/>
              <w:sz w:val="24"/>
              <w:szCs w:val="24"/>
            </w:rPr>
          </w:pPr>
          <w:hyperlink w:anchor="_Toc117501944" w:history="1">
            <w:r w:rsidR="00F150B4" w:rsidRPr="00BA4A2D">
              <w:rPr>
                <w:rStyle w:val="Hyperlink"/>
                <w:rFonts w:ascii="Times New Roman" w:hAnsi="Times New Roman" w:cs="Times New Roman"/>
                <w:noProof/>
                <w:sz w:val="24"/>
                <w:szCs w:val="24"/>
                <w:shd w:val="clear" w:color="auto" w:fill="FFFFFF"/>
              </w:rPr>
              <w:t>Appendix E</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_Toc117501944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99</w:t>
            </w:r>
            <w:r w:rsidR="00F150B4" w:rsidRPr="00BA4A2D">
              <w:rPr>
                <w:rFonts w:ascii="Times New Roman" w:hAnsi="Times New Roman" w:cs="Times New Roman"/>
                <w:noProof/>
                <w:webHidden/>
                <w:sz w:val="24"/>
                <w:szCs w:val="24"/>
              </w:rPr>
              <w:fldChar w:fldCharType="end"/>
            </w:r>
          </w:hyperlink>
        </w:p>
        <w:p w14:paraId="6124A7A7" w14:textId="13FEA1A7" w:rsidR="00F150B4" w:rsidRPr="00BA4A2D" w:rsidRDefault="00000000" w:rsidP="00BA4A2D">
          <w:pPr>
            <w:pStyle w:val="TOC1"/>
            <w:tabs>
              <w:tab w:val="right" w:leader="dot" w:pos="9350"/>
            </w:tabs>
            <w:spacing w:after="0" w:line="480" w:lineRule="auto"/>
            <w:rPr>
              <w:rFonts w:ascii="Times New Roman" w:hAnsi="Times New Roman" w:cs="Times New Roman"/>
              <w:noProof/>
              <w:sz w:val="24"/>
              <w:szCs w:val="24"/>
            </w:rPr>
          </w:pPr>
          <w:hyperlink w:anchor="_Toc117501945" w:history="1">
            <w:r w:rsidR="00F150B4" w:rsidRPr="00BA4A2D">
              <w:rPr>
                <w:rStyle w:val="Hyperlink"/>
                <w:rFonts w:ascii="Times New Roman" w:hAnsi="Times New Roman" w:cs="Times New Roman"/>
                <w:noProof/>
                <w:sz w:val="24"/>
                <w:szCs w:val="24"/>
                <w:shd w:val="clear" w:color="auto" w:fill="FFFFFF"/>
              </w:rPr>
              <w:t>Appendix F</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_Toc117501945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100</w:t>
            </w:r>
            <w:r w:rsidR="00F150B4" w:rsidRPr="00BA4A2D">
              <w:rPr>
                <w:rFonts w:ascii="Times New Roman" w:hAnsi="Times New Roman" w:cs="Times New Roman"/>
                <w:noProof/>
                <w:webHidden/>
                <w:sz w:val="24"/>
                <w:szCs w:val="24"/>
              </w:rPr>
              <w:fldChar w:fldCharType="end"/>
            </w:r>
          </w:hyperlink>
        </w:p>
        <w:p w14:paraId="5640A4FB" w14:textId="2A8C325A" w:rsidR="00F150B4" w:rsidRPr="00BA4A2D" w:rsidRDefault="00000000" w:rsidP="00BA4A2D">
          <w:pPr>
            <w:pStyle w:val="TOC1"/>
            <w:tabs>
              <w:tab w:val="right" w:leader="dot" w:pos="9350"/>
            </w:tabs>
            <w:spacing w:after="0" w:line="480" w:lineRule="auto"/>
            <w:rPr>
              <w:rFonts w:ascii="Times New Roman" w:hAnsi="Times New Roman" w:cs="Times New Roman"/>
              <w:noProof/>
              <w:sz w:val="24"/>
              <w:szCs w:val="24"/>
            </w:rPr>
          </w:pPr>
          <w:hyperlink w:anchor="_Toc117501946" w:history="1">
            <w:r w:rsidR="00F150B4" w:rsidRPr="00BA4A2D">
              <w:rPr>
                <w:rStyle w:val="Hyperlink"/>
                <w:rFonts w:ascii="Times New Roman" w:hAnsi="Times New Roman" w:cs="Times New Roman"/>
                <w:noProof/>
                <w:sz w:val="24"/>
                <w:szCs w:val="24"/>
                <w:shd w:val="clear" w:color="auto" w:fill="FFFFFF"/>
              </w:rPr>
              <w:t>Appendix G</w:t>
            </w:r>
            <w:r w:rsidR="00F150B4" w:rsidRPr="00BA4A2D">
              <w:rPr>
                <w:rFonts w:ascii="Times New Roman" w:hAnsi="Times New Roman" w:cs="Times New Roman"/>
                <w:noProof/>
                <w:webHidden/>
                <w:sz w:val="24"/>
                <w:szCs w:val="24"/>
              </w:rPr>
              <w:tab/>
            </w:r>
            <w:r w:rsidR="00F150B4" w:rsidRPr="00BA4A2D">
              <w:rPr>
                <w:rFonts w:ascii="Times New Roman" w:hAnsi="Times New Roman" w:cs="Times New Roman"/>
                <w:noProof/>
                <w:webHidden/>
                <w:sz w:val="24"/>
                <w:szCs w:val="24"/>
              </w:rPr>
              <w:fldChar w:fldCharType="begin"/>
            </w:r>
            <w:r w:rsidR="00F150B4" w:rsidRPr="00BA4A2D">
              <w:rPr>
                <w:rFonts w:ascii="Times New Roman" w:hAnsi="Times New Roman" w:cs="Times New Roman"/>
                <w:noProof/>
                <w:webHidden/>
                <w:sz w:val="24"/>
                <w:szCs w:val="24"/>
              </w:rPr>
              <w:instrText xml:space="preserve"> PAGEREF _Toc117501946 \h </w:instrText>
            </w:r>
            <w:r w:rsidR="00F150B4" w:rsidRPr="00BA4A2D">
              <w:rPr>
                <w:rFonts w:ascii="Times New Roman" w:hAnsi="Times New Roman" w:cs="Times New Roman"/>
                <w:noProof/>
                <w:webHidden/>
                <w:sz w:val="24"/>
                <w:szCs w:val="24"/>
              </w:rPr>
            </w:r>
            <w:r w:rsidR="00F150B4" w:rsidRPr="00BA4A2D">
              <w:rPr>
                <w:rFonts w:ascii="Times New Roman" w:hAnsi="Times New Roman" w:cs="Times New Roman"/>
                <w:noProof/>
                <w:webHidden/>
                <w:sz w:val="24"/>
                <w:szCs w:val="24"/>
              </w:rPr>
              <w:fldChar w:fldCharType="separate"/>
            </w:r>
            <w:r w:rsidR="00C3070B">
              <w:rPr>
                <w:rFonts w:ascii="Times New Roman" w:hAnsi="Times New Roman" w:cs="Times New Roman"/>
                <w:noProof/>
                <w:webHidden/>
                <w:sz w:val="24"/>
                <w:szCs w:val="24"/>
              </w:rPr>
              <w:t>101</w:t>
            </w:r>
            <w:r w:rsidR="00F150B4" w:rsidRPr="00BA4A2D">
              <w:rPr>
                <w:rFonts w:ascii="Times New Roman" w:hAnsi="Times New Roman" w:cs="Times New Roman"/>
                <w:noProof/>
                <w:webHidden/>
                <w:sz w:val="24"/>
                <w:szCs w:val="24"/>
              </w:rPr>
              <w:fldChar w:fldCharType="end"/>
            </w:r>
          </w:hyperlink>
        </w:p>
        <w:p w14:paraId="698B09B0" w14:textId="013CF160" w:rsidR="00F150B4" w:rsidRDefault="00F150B4" w:rsidP="00BA4A2D">
          <w:pPr>
            <w:spacing w:after="0" w:line="480" w:lineRule="auto"/>
          </w:pPr>
          <w:r w:rsidRPr="00BA4A2D">
            <w:rPr>
              <w:rFonts w:ascii="Times New Roman" w:hAnsi="Times New Roman" w:cs="Times New Roman"/>
              <w:b/>
              <w:bCs/>
              <w:noProof/>
              <w:sz w:val="24"/>
              <w:szCs w:val="24"/>
            </w:rPr>
            <w:fldChar w:fldCharType="end"/>
          </w:r>
        </w:p>
      </w:sdtContent>
    </w:sdt>
    <w:p w14:paraId="5FECD9BA" w14:textId="5678C6AA" w:rsidR="00DA0D38" w:rsidRDefault="00DA0D38" w:rsidP="00BA4A2D">
      <w:pPr>
        <w:widowControl w:val="0"/>
        <w:tabs>
          <w:tab w:val="right" w:leader="dot" w:pos="8640"/>
        </w:tabs>
        <w:spacing w:after="0" w:line="480" w:lineRule="auto"/>
        <w:rPr>
          <w:rFonts w:ascii="Times New Roman" w:eastAsia="Times New Roman" w:hAnsi="Times New Roman" w:cs="Times New Roman"/>
          <w:noProof/>
          <w:sz w:val="24"/>
          <w:szCs w:val="24"/>
        </w:rPr>
      </w:pPr>
    </w:p>
    <w:p w14:paraId="6FB28F00" w14:textId="1E867202" w:rsidR="00DA0D38" w:rsidRDefault="00DA0D38" w:rsidP="00BA4A2D">
      <w:pPr>
        <w:pStyle w:val="Heading1"/>
      </w:pPr>
      <w:bookmarkStart w:id="0" w:name="_Toc117501903"/>
      <w:r w:rsidRPr="00621BFD">
        <w:lastRenderedPageBreak/>
        <w:t xml:space="preserve">List of </w:t>
      </w:r>
      <w:r w:rsidRPr="003F7FE4">
        <w:t>Tables</w:t>
      </w:r>
      <w:bookmarkEnd w:id="0"/>
    </w:p>
    <w:p w14:paraId="3024F168" w14:textId="773A13A3" w:rsidR="00DA0D38" w:rsidRPr="004A42B0" w:rsidRDefault="00DA0D38" w:rsidP="00BA4A2D">
      <w:pPr>
        <w:pStyle w:val="TableofFigures"/>
        <w:keepNext w:val="0"/>
        <w:widowControl w:val="0"/>
        <w:tabs>
          <w:tab w:val="right" w:leader="dot" w:pos="8640"/>
        </w:tabs>
        <w:rPr>
          <w:rFonts w:asciiTheme="minorHAnsi" w:eastAsiaTheme="minorEastAsia" w:hAnsiTheme="minorHAnsi" w:cstheme="minorBidi"/>
          <w:i/>
          <w:noProof/>
          <w:szCs w:val="24"/>
          <w:lang w:eastAsia="ja-JP"/>
        </w:rPr>
      </w:pPr>
      <w:r>
        <w:rPr>
          <w:noProof/>
        </w:rPr>
        <w:t xml:space="preserve">Table 1. </w:t>
      </w:r>
      <w:r w:rsidR="00F148A7">
        <w:rPr>
          <w:i/>
          <w:noProof/>
        </w:rPr>
        <w:t>Representation of U</w:t>
      </w:r>
      <w:r w:rsidR="001B7A89">
        <w:rPr>
          <w:i/>
          <w:noProof/>
        </w:rPr>
        <w:t>.</w:t>
      </w:r>
      <w:r w:rsidR="00F148A7">
        <w:rPr>
          <w:i/>
          <w:noProof/>
        </w:rPr>
        <w:t>S</w:t>
      </w:r>
      <w:r w:rsidR="001B7A89">
        <w:rPr>
          <w:i/>
          <w:noProof/>
        </w:rPr>
        <w:t>.</w:t>
      </w:r>
      <w:r w:rsidR="00F148A7">
        <w:rPr>
          <w:i/>
          <w:noProof/>
        </w:rPr>
        <w:t xml:space="preserve"> Women in Science and Engineering</w:t>
      </w:r>
      <w:r w:rsidR="000A5039">
        <w:rPr>
          <w:i/>
          <w:noProof/>
        </w:rPr>
        <w:t xml:space="preserve"> Fields</w:t>
      </w:r>
      <w:r w:rsidRPr="004A42B0">
        <w:rPr>
          <w:i/>
          <w:noProof/>
        </w:rPr>
        <w:tab/>
      </w:r>
      <w:r w:rsidR="000A5039">
        <w:rPr>
          <w:noProof/>
        </w:rPr>
        <w:t>1</w:t>
      </w:r>
      <w:r w:rsidR="00FE1D16">
        <w:rPr>
          <w:noProof/>
        </w:rPr>
        <w:t>1</w:t>
      </w:r>
    </w:p>
    <w:p w14:paraId="144DE6BF" w14:textId="0A1040DD" w:rsidR="00DA0D38" w:rsidRDefault="00DA0D38" w:rsidP="00BA4A2D">
      <w:pPr>
        <w:pStyle w:val="TableofFigures"/>
        <w:keepNext w:val="0"/>
        <w:widowControl w:val="0"/>
        <w:tabs>
          <w:tab w:val="right" w:leader="dot" w:pos="8630"/>
        </w:tabs>
        <w:rPr>
          <w:noProof/>
        </w:rPr>
      </w:pPr>
      <w:r>
        <w:rPr>
          <w:noProof/>
        </w:rPr>
        <w:t xml:space="preserve">Table 2. </w:t>
      </w:r>
      <w:r w:rsidRPr="004A42B0">
        <w:rPr>
          <w:i/>
          <w:noProof/>
        </w:rPr>
        <w:t xml:space="preserve"> </w:t>
      </w:r>
      <w:r w:rsidR="000A5039">
        <w:rPr>
          <w:i/>
          <w:noProof/>
        </w:rPr>
        <w:t>Conversion of Letter Grading Scale for Differentiated Numeric Values</w:t>
      </w:r>
      <w:r w:rsidRPr="004A42B0">
        <w:rPr>
          <w:i/>
          <w:noProof/>
        </w:rPr>
        <w:tab/>
      </w:r>
      <w:r w:rsidR="00FE1D16">
        <w:rPr>
          <w:noProof/>
        </w:rPr>
        <w:t>30</w:t>
      </w:r>
    </w:p>
    <w:p w14:paraId="4053A65F" w14:textId="2C952073" w:rsidR="000A5039" w:rsidRPr="004A42B0" w:rsidRDefault="000A5039" w:rsidP="00BA4A2D">
      <w:pPr>
        <w:pStyle w:val="TableofFigures"/>
        <w:keepNext w:val="0"/>
        <w:widowControl w:val="0"/>
        <w:tabs>
          <w:tab w:val="right" w:leader="dot" w:pos="8630"/>
        </w:tabs>
        <w:rPr>
          <w:rFonts w:asciiTheme="minorHAnsi" w:eastAsiaTheme="minorEastAsia" w:hAnsiTheme="minorHAnsi" w:cstheme="minorBidi"/>
          <w:i/>
          <w:noProof/>
          <w:szCs w:val="24"/>
          <w:lang w:eastAsia="ja-JP"/>
        </w:rPr>
      </w:pPr>
      <w:r>
        <w:rPr>
          <w:noProof/>
        </w:rPr>
        <w:t xml:space="preserve">Table 3. </w:t>
      </w:r>
      <w:r w:rsidRPr="004A42B0">
        <w:rPr>
          <w:i/>
          <w:noProof/>
        </w:rPr>
        <w:t xml:space="preserve"> </w:t>
      </w:r>
      <w:r>
        <w:rPr>
          <w:i/>
          <w:noProof/>
        </w:rPr>
        <w:t>Physics Enrollment by Gender and Year</w:t>
      </w:r>
      <w:r w:rsidRPr="004A42B0">
        <w:rPr>
          <w:i/>
          <w:noProof/>
        </w:rPr>
        <w:tab/>
      </w:r>
      <w:r>
        <w:rPr>
          <w:noProof/>
        </w:rPr>
        <w:t>4</w:t>
      </w:r>
      <w:r w:rsidR="00FE1D16">
        <w:rPr>
          <w:noProof/>
        </w:rPr>
        <w:t>0</w:t>
      </w:r>
    </w:p>
    <w:p w14:paraId="515980F4" w14:textId="6262888C" w:rsidR="000A5039" w:rsidRPr="004A42B0" w:rsidRDefault="000A5039" w:rsidP="00BA4A2D">
      <w:pPr>
        <w:pStyle w:val="TableofFigures"/>
        <w:keepNext w:val="0"/>
        <w:widowControl w:val="0"/>
        <w:tabs>
          <w:tab w:val="right" w:leader="dot" w:pos="8630"/>
        </w:tabs>
        <w:rPr>
          <w:rFonts w:asciiTheme="minorHAnsi" w:eastAsiaTheme="minorEastAsia" w:hAnsiTheme="minorHAnsi" w:cstheme="minorBidi"/>
          <w:i/>
          <w:noProof/>
          <w:szCs w:val="24"/>
          <w:lang w:eastAsia="ja-JP"/>
        </w:rPr>
      </w:pPr>
      <w:r>
        <w:rPr>
          <w:noProof/>
        </w:rPr>
        <w:t xml:space="preserve">Table 4. </w:t>
      </w:r>
      <w:r w:rsidRPr="004A42B0">
        <w:rPr>
          <w:i/>
          <w:noProof/>
        </w:rPr>
        <w:t xml:space="preserve"> </w:t>
      </w:r>
      <w:r>
        <w:rPr>
          <w:i/>
          <w:noProof/>
        </w:rPr>
        <w:t xml:space="preserve">Descriptive Statistics for Predictors of </w:t>
      </w:r>
      <w:r w:rsidR="008159B8">
        <w:rPr>
          <w:i/>
          <w:noProof/>
        </w:rPr>
        <w:t xml:space="preserve">Second-year </w:t>
      </w:r>
      <w:r w:rsidR="00FE1D16">
        <w:rPr>
          <w:i/>
          <w:noProof/>
        </w:rPr>
        <w:t>P</w:t>
      </w:r>
      <w:r w:rsidR="008159B8">
        <w:rPr>
          <w:i/>
          <w:noProof/>
        </w:rPr>
        <w:t>hysics</w:t>
      </w:r>
      <w:r>
        <w:rPr>
          <w:i/>
          <w:noProof/>
        </w:rPr>
        <w:t xml:space="preserve"> Enrollment</w:t>
      </w:r>
      <w:r w:rsidRPr="004A42B0">
        <w:rPr>
          <w:i/>
          <w:noProof/>
        </w:rPr>
        <w:tab/>
      </w:r>
      <w:r>
        <w:rPr>
          <w:noProof/>
        </w:rPr>
        <w:t>4</w:t>
      </w:r>
      <w:r w:rsidR="00FE1D16">
        <w:rPr>
          <w:noProof/>
        </w:rPr>
        <w:t>1</w:t>
      </w:r>
    </w:p>
    <w:p w14:paraId="1789862F" w14:textId="0E843E17" w:rsidR="000A5039" w:rsidRPr="004A42B0" w:rsidRDefault="000A5039" w:rsidP="00BA4A2D">
      <w:pPr>
        <w:pStyle w:val="TableofFigures"/>
        <w:keepNext w:val="0"/>
        <w:widowControl w:val="0"/>
        <w:tabs>
          <w:tab w:val="right" w:leader="dot" w:pos="8630"/>
        </w:tabs>
        <w:rPr>
          <w:rFonts w:asciiTheme="minorHAnsi" w:eastAsiaTheme="minorEastAsia" w:hAnsiTheme="minorHAnsi" w:cstheme="minorBidi"/>
          <w:i/>
          <w:noProof/>
          <w:szCs w:val="24"/>
          <w:lang w:eastAsia="ja-JP"/>
        </w:rPr>
      </w:pPr>
      <w:r>
        <w:rPr>
          <w:noProof/>
        </w:rPr>
        <w:t xml:space="preserve">Table 5. </w:t>
      </w:r>
      <w:r w:rsidRPr="004A42B0">
        <w:rPr>
          <w:i/>
          <w:noProof/>
        </w:rPr>
        <w:t xml:space="preserve"> </w:t>
      </w:r>
      <w:r>
        <w:rPr>
          <w:i/>
          <w:noProof/>
        </w:rPr>
        <w:t xml:space="preserve">Collinearity Statistics for Predictors of </w:t>
      </w:r>
      <w:r w:rsidR="008159B8">
        <w:rPr>
          <w:i/>
          <w:noProof/>
        </w:rPr>
        <w:t xml:space="preserve">Second-year </w:t>
      </w:r>
      <w:r w:rsidR="00FE1D16">
        <w:rPr>
          <w:i/>
          <w:noProof/>
        </w:rPr>
        <w:t>P</w:t>
      </w:r>
      <w:r w:rsidR="008159B8">
        <w:rPr>
          <w:i/>
          <w:noProof/>
        </w:rPr>
        <w:t>hysics</w:t>
      </w:r>
      <w:r>
        <w:rPr>
          <w:i/>
          <w:noProof/>
        </w:rPr>
        <w:t xml:space="preserve"> Enrollment</w:t>
      </w:r>
      <w:r w:rsidRPr="004A42B0">
        <w:rPr>
          <w:i/>
          <w:noProof/>
        </w:rPr>
        <w:tab/>
      </w:r>
      <w:r>
        <w:rPr>
          <w:noProof/>
        </w:rPr>
        <w:t>4</w:t>
      </w:r>
      <w:r w:rsidR="00FE1D16">
        <w:rPr>
          <w:noProof/>
        </w:rPr>
        <w:t>4</w:t>
      </w:r>
    </w:p>
    <w:p w14:paraId="1D7C04D3" w14:textId="1DC9EB92" w:rsidR="000A5039" w:rsidRPr="004A42B0" w:rsidRDefault="000A5039" w:rsidP="00BA4A2D">
      <w:pPr>
        <w:pStyle w:val="TableofFigures"/>
        <w:keepNext w:val="0"/>
        <w:widowControl w:val="0"/>
        <w:tabs>
          <w:tab w:val="right" w:leader="dot" w:pos="8630"/>
        </w:tabs>
        <w:rPr>
          <w:rFonts w:asciiTheme="minorHAnsi" w:eastAsiaTheme="minorEastAsia" w:hAnsiTheme="minorHAnsi" w:cstheme="minorBidi"/>
          <w:i/>
          <w:noProof/>
          <w:szCs w:val="24"/>
          <w:lang w:eastAsia="ja-JP"/>
        </w:rPr>
      </w:pPr>
      <w:r>
        <w:rPr>
          <w:noProof/>
        </w:rPr>
        <w:t xml:space="preserve">Table 6. </w:t>
      </w:r>
      <w:r w:rsidRPr="004A42B0">
        <w:rPr>
          <w:i/>
          <w:noProof/>
        </w:rPr>
        <w:t xml:space="preserve"> </w:t>
      </w:r>
      <w:r>
        <w:rPr>
          <w:i/>
          <w:noProof/>
        </w:rPr>
        <w:t xml:space="preserve">Coefficients and Significance of Controls and Predictors in </w:t>
      </w:r>
      <w:r w:rsidR="008159B8">
        <w:rPr>
          <w:i/>
          <w:noProof/>
        </w:rPr>
        <w:t xml:space="preserve">Second-year </w:t>
      </w:r>
      <w:r w:rsidR="00FE1D16">
        <w:rPr>
          <w:i/>
          <w:noProof/>
        </w:rPr>
        <w:t>P</w:t>
      </w:r>
      <w:r w:rsidR="008159B8">
        <w:rPr>
          <w:i/>
          <w:noProof/>
        </w:rPr>
        <w:t>hysics</w:t>
      </w:r>
      <w:r>
        <w:rPr>
          <w:i/>
          <w:noProof/>
        </w:rPr>
        <w:t xml:space="preserve"> Enrollment for High School Men and Women</w:t>
      </w:r>
      <w:r w:rsidRPr="004A42B0">
        <w:rPr>
          <w:i/>
          <w:noProof/>
        </w:rPr>
        <w:tab/>
      </w:r>
      <w:r w:rsidR="00FE1D16">
        <w:rPr>
          <w:noProof/>
        </w:rPr>
        <w:t>45</w:t>
      </w:r>
    </w:p>
    <w:p w14:paraId="2309B4D8" w14:textId="68BE7D6E" w:rsidR="000A5039" w:rsidRPr="00AE0CAE" w:rsidRDefault="000A5039" w:rsidP="00BA4A2D">
      <w:pPr>
        <w:pStyle w:val="TableofFigures"/>
        <w:keepNext w:val="0"/>
        <w:widowControl w:val="0"/>
        <w:tabs>
          <w:tab w:val="right" w:leader="dot" w:pos="8630"/>
        </w:tabs>
        <w:rPr>
          <w:rFonts w:eastAsiaTheme="minorEastAsia"/>
          <w:i/>
          <w:noProof/>
          <w:szCs w:val="24"/>
          <w:lang w:eastAsia="ja-JP"/>
        </w:rPr>
      </w:pPr>
      <w:r>
        <w:rPr>
          <w:noProof/>
        </w:rPr>
        <w:t xml:space="preserve">Table 7. </w:t>
      </w:r>
      <w:r w:rsidRPr="004A42B0">
        <w:rPr>
          <w:i/>
          <w:noProof/>
        </w:rPr>
        <w:t xml:space="preserve"> </w:t>
      </w:r>
      <w:r>
        <w:rPr>
          <w:i/>
          <w:noProof/>
        </w:rPr>
        <w:t xml:space="preserve">Coefficients and Significance of Controls and Predictors in </w:t>
      </w:r>
      <w:r w:rsidR="008159B8">
        <w:rPr>
          <w:i/>
          <w:noProof/>
        </w:rPr>
        <w:t xml:space="preserve">Second-year </w:t>
      </w:r>
      <w:r w:rsidR="00FE1D16">
        <w:rPr>
          <w:i/>
          <w:noProof/>
        </w:rPr>
        <w:t>P</w:t>
      </w:r>
      <w:r w:rsidR="008159B8">
        <w:rPr>
          <w:i/>
          <w:noProof/>
        </w:rPr>
        <w:t>hysics</w:t>
      </w:r>
      <w:r>
        <w:rPr>
          <w:i/>
          <w:noProof/>
        </w:rPr>
        <w:t xml:space="preserve"> </w:t>
      </w:r>
      <w:r w:rsidRPr="00AE0CAE">
        <w:rPr>
          <w:i/>
          <w:noProof/>
          <w:szCs w:val="24"/>
        </w:rPr>
        <w:t>Enrollment for High School Men</w:t>
      </w:r>
      <w:r w:rsidRPr="00AE0CAE">
        <w:rPr>
          <w:i/>
          <w:noProof/>
          <w:szCs w:val="24"/>
        </w:rPr>
        <w:tab/>
      </w:r>
      <w:r w:rsidR="00FE1D16">
        <w:rPr>
          <w:noProof/>
          <w:szCs w:val="24"/>
        </w:rPr>
        <w:t>46</w:t>
      </w:r>
    </w:p>
    <w:p w14:paraId="32B89FE5" w14:textId="74A914DB" w:rsidR="00DA0D38" w:rsidRPr="00AE0CAE" w:rsidRDefault="000A5039" w:rsidP="00BA4A2D">
      <w:pPr>
        <w:widowControl w:val="0"/>
        <w:tabs>
          <w:tab w:val="right" w:leader="dot" w:pos="8640"/>
        </w:tabs>
        <w:spacing w:after="0" w:line="480" w:lineRule="auto"/>
        <w:rPr>
          <w:rFonts w:ascii="Times New Roman" w:eastAsia="Times New Roman" w:hAnsi="Times New Roman" w:cs="Times New Roman"/>
          <w:noProof/>
          <w:sz w:val="24"/>
          <w:szCs w:val="24"/>
        </w:rPr>
      </w:pPr>
      <w:r w:rsidRPr="00AE0CAE">
        <w:rPr>
          <w:rFonts w:ascii="Times New Roman" w:hAnsi="Times New Roman" w:cs="Times New Roman"/>
          <w:noProof/>
          <w:sz w:val="24"/>
          <w:szCs w:val="24"/>
        </w:rPr>
        <w:t xml:space="preserve">Table 8. </w:t>
      </w:r>
      <w:r w:rsidRPr="00AE0CAE">
        <w:rPr>
          <w:rFonts w:ascii="Times New Roman" w:hAnsi="Times New Roman" w:cs="Times New Roman"/>
          <w:i/>
          <w:noProof/>
          <w:sz w:val="24"/>
          <w:szCs w:val="24"/>
        </w:rPr>
        <w:t xml:space="preserve"> Coefficients and Significance of Controls and Predictors in </w:t>
      </w:r>
      <w:r w:rsidR="008159B8">
        <w:rPr>
          <w:rFonts w:ascii="Times New Roman" w:hAnsi="Times New Roman" w:cs="Times New Roman"/>
          <w:i/>
          <w:noProof/>
          <w:sz w:val="24"/>
          <w:szCs w:val="24"/>
        </w:rPr>
        <w:t xml:space="preserve">Second-year </w:t>
      </w:r>
      <w:r w:rsidR="00FE1D16">
        <w:rPr>
          <w:rFonts w:ascii="Times New Roman" w:hAnsi="Times New Roman" w:cs="Times New Roman"/>
          <w:i/>
          <w:noProof/>
          <w:sz w:val="24"/>
          <w:szCs w:val="24"/>
        </w:rPr>
        <w:t>P</w:t>
      </w:r>
      <w:r w:rsidR="008159B8">
        <w:rPr>
          <w:rFonts w:ascii="Times New Roman" w:hAnsi="Times New Roman" w:cs="Times New Roman"/>
          <w:i/>
          <w:noProof/>
          <w:sz w:val="24"/>
          <w:szCs w:val="24"/>
        </w:rPr>
        <w:t>hysics</w:t>
      </w:r>
      <w:r w:rsidRPr="00AE0CAE">
        <w:rPr>
          <w:rFonts w:ascii="Times New Roman" w:hAnsi="Times New Roman" w:cs="Times New Roman"/>
          <w:i/>
          <w:noProof/>
          <w:sz w:val="24"/>
          <w:szCs w:val="24"/>
        </w:rPr>
        <w:t xml:space="preserve"> Enrollment for High School Women</w:t>
      </w:r>
      <w:r w:rsidRPr="00AE0CAE">
        <w:rPr>
          <w:rFonts w:ascii="Times New Roman" w:hAnsi="Times New Roman" w:cs="Times New Roman"/>
          <w:i/>
          <w:noProof/>
          <w:sz w:val="24"/>
          <w:szCs w:val="24"/>
        </w:rPr>
        <w:tab/>
      </w:r>
      <w:r w:rsidR="00FE1D16">
        <w:rPr>
          <w:rFonts w:ascii="Times New Roman" w:hAnsi="Times New Roman" w:cs="Times New Roman"/>
          <w:noProof/>
          <w:sz w:val="24"/>
          <w:szCs w:val="24"/>
        </w:rPr>
        <w:t>47</w:t>
      </w:r>
    </w:p>
    <w:p w14:paraId="670C3A5D" w14:textId="77777777" w:rsidR="000E7F7C" w:rsidRPr="00AE0CAE" w:rsidRDefault="000E7F7C" w:rsidP="00BA4A2D">
      <w:pPr>
        <w:widowControl w:val="0"/>
        <w:tabs>
          <w:tab w:val="right" w:leader="dot" w:pos="8640"/>
        </w:tabs>
        <w:spacing w:after="0" w:line="480" w:lineRule="auto"/>
        <w:ind w:left="-360" w:firstLine="720"/>
        <w:rPr>
          <w:rFonts w:ascii="Times New Roman" w:eastAsia="Times New Roman" w:hAnsi="Times New Roman" w:cs="Times New Roman"/>
          <w:noProof/>
          <w:sz w:val="24"/>
          <w:szCs w:val="24"/>
        </w:rPr>
      </w:pPr>
    </w:p>
    <w:p w14:paraId="7D01FADE" w14:textId="5001FF9F" w:rsidR="00BE4607" w:rsidRPr="00AE0CAE" w:rsidRDefault="00BE4607" w:rsidP="00BA4A2D">
      <w:pPr>
        <w:widowControl w:val="0"/>
        <w:tabs>
          <w:tab w:val="right" w:leader="dot" w:pos="8640"/>
        </w:tabs>
        <w:spacing w:after="0" w:line="480" w:lineRule="auto"/>
        <w:ind w:left="-360" w:firstLine="720"/>
        <w:rPr>
          <w:rFonts w:ascii="Times New Roman" w:eastAsia="Times New Roman" w:hAnsi="Times New Roman" w:cs="Times New Roman"/>
          <w:noProof/>
          <w:sz w:val="24"/>
          <w:szCs w:val="24"/>
        </w:rPr>
      </w:pPr>
    </w:p>
    <w:p w14:paraId="77B86308" w14:textId="77BC15CD" w:rsidR="00BE4607" w:rsidRPr="00AE0CAE" w:rsidRDefault="00BE4607" w:rsidP="00BA4A2D">
      <w:pPr>
        <w:widowControl w:val="0"/>
        <w:tabs>
          <w:tab w:val="right" w:leader="dot" w:pos="8640"/>
        </w:tabs>
        <w:spacing w:after="0" w:line="480" w:lineRule="auto"/>
        <w:ind w:left="-360" w:firstLine="720"/>
        <w:rPr>
          <w:rFonts w:ascii="Times New Roman" w:eastAsia="Times New Roman" w:hAnsi="Times New Roman" w:cs="Times New Roman"/>
          <w:noProof/>
          <w:sz w:val="24"/>
          <w:szCs w:val="24"/>
        </w:rPr>
      </w:pPr>
    </w:p>
    <w:p w14:paraId="059D48E5" w14:textId="7E02308F" w:rsidR="00BE4607" w:rsidRPr="00AE0CAE" w:rsidRDefault="00BE4607" w:rsidP="00BA4A2D">
      <w:pPr>
        <w:widowControl w:val="0"/>
        <w:tabs>
          <w:tab w:val="right" w:leader="dot" w:pos="8640"/>
        </w:tabs>
        <w:spacing w:after="0" w:line="480" w:lineRule="auto"/>
        <w:ind w:left="-360" w:firstLine="720"/>
        <w:rPr>
          <w:rFonts w:ascii="Times New Roman" w:eastAsia="Times New Roman" w:hAnsi="Times New Roman" w:cs="Times New Roman"/>
          <w:noProof/>
          <w:sz w:val="24"/>
          <w:szCs w:val="24"/>
        </w:rPr>
      </w:pPr>
    </w:p>
    <w:p w14:paraId="350DE712" w14:textId="71666099" w:rsidR="00BE4607" w:rsidRDefault="00BE4607" w:rsidP="00BA4A2D">
      <w:pPr>
        <w:widowControl w:val="0"/>
        <w:tabs>
          <w:tab w:val="right" w:leader="dot" w:pos="8640"/>
        </w:tabs>
        <w:spacing w:after="0" w:line="480" w:lineRule="auto"/>
        <w:ind w:left="-360" w:firstLine="720"/>
        <w:rPr>
          <w:rFonts w:ascii="Times New Roman" w:eastAsia="Times New Roman" w:hAnsi="Times New Roman" w:cs="Times New Roman"/>
          <w:noProof/>
          <w:sz w:val="24"/>
          <w:szCs w:val="24"/>
        </w:rPr>
      </w:pPr>
    </w:p>
    <w:p w14:paraId="7F94BD39" w14:textId="082C266D" w:rsidR="00BE4607" w:rsidRDefault="00BE4607" w:rsidP="00BA4A2D">
      <w:pPr>
        <w:widowControl w:val="0"/>
        <w:tabs>
          <w:tab w:val="right" w:leader="dot" w:pos="8640"/>
        </w:tabs>
        <w:spacing w:after="0" w:line="480" w:lineRule="auto"/>
        <w:ind w:left="-360" w:firstLine="720"/>
        <w:rPr>
          <w:rFonts w:ascii="Times New Roman" w:eastAsia="Times New Roman" w:hAnsi="Times New Roman" w:cs="Times New Roman"/>
          <w:noProof/>
          <w:sz w:val="24"/>
          <w:szCs w:val="24"/>
        </w:rPr>
      </w:pPr>
    </w:p>
    <w:p w14:paraId="71328416" w14:textId="46F3791A" w:rsidR="00BE4607" w:rsidRPr="009227E4" w:rsidRDefault="00BE4607" w:rsidP="00BA4A2D">
      <w:pPr>
        <w:widowControl w:val="0"/>
        <w:spacing w:after="0" w:line="480" w:lineRule="auto"/>
        <w:rPr>
          <w:rFonts w:eastAsiaTheme="minorEastAsia"/>
          <w:noProof/>
        </w:rPr>
      </w:pPr>
    </w:p>
    <w:p w14:paraId="7A2C1A98" w14:textId="77777777" w:rsidR="006F3F13" w:rsidRDefault="006F3F13" w:rsidP="000943B8">
      <w:pPr>
        <w:widowControl w:val="0"/>
        <w:spacing w:after="0" w:line="480" w:lineRule="auto"/>
        <w:jc w:val="center"/>
        <w:rPr>
          <w:rFonts w:ascii="Times New Roman" w:hAnsi="Times New Roman" w:cs="Times New Roman"/>
          <w:b/>
          <w:sz w:val="24"/>
          <w:szCs w:val="24"/>
        </w:rPr>
      </w:pPr>
    </w:p>
    <w:p w14:paraId="2BB04B39" w14:textId="77777777" w:rsidR="006F3F13" w:rsidRDefault="006F3F13" w:rsidP="000943B8">
      <w:pPr>
        <w:widowControl w:val="0"/>
        <w:spacing w:after="0" w:line="480" w:lineRule="auto"/>
        <w:jc w:val="center"/>
        <w:rPr>
          <w:rFonts w:ascii="Times New Roman" w:hAnsi="Times New Roman" w:cs="Times New Roman"/>
          <w:b/>
          <w:sz w:val="24"/>
          <w:szCs w:val="24"/>
        </w:rPr>
      </w:pPr>
    </w:p>
    <w:p w14:paraId="2097DC96" w14:textId="77777777" w:rsidR="006F3F13" w:rsidRDefault="006F3F13" w:rsidP="000943B8">
      <w:pPr>
        <w:widowControl w:val="0"/>
        <w:spacing w:after="0" w:line="480" w:lineRule="auto"/>
        <w:jc w:val="center"/>
        <w:rPr>
          <w:rFonts w:ascii="Times New Roman" w:hAnsi="Times New Roman" w:cs="Times New Roman"/>
          <w:b/>
          <w:sz w:val="24"/>
          <w:szCs w:val="24"/>
        </w:rPr>
      </w:pPr>
    </w:p>
    <w:p w14:paraId="204A61CB" w14:textId="77777777" w:rsidR="006F3F13" w:rsidRDefault="006F3F13" w:rsidP="000943B8">
      <w:pPr>
        <w:widowControl w:val="0"/>
        <w:spacing w:after="0" w:line="480" w:lineRule="auto"/>
        <w:jc w:val="center"/>
        <w:rPr>
          <w:rFonts w:ascii="Times New Roman" w:hAnsi="Times New Roman" w:cs="Times New Roman"/>
          <w:b/>
          <w:sz w:val="24"/>
          <w:szCs w:val="24"/>
        </w:rPr>
      </w:pPr>
    </w:p>
    <w:p w14:paraId="7AD2FF4A" w14:textId="77777777" w:rsidR="006F3F13" w:rsidRDefault="006F3F13" w:rsidP="000943B8">
      <w:pPr>
        <w:widowControl w:val="0"/>
        <w:spacing w:after="0" w:line="480" w:lineRule="auto"/>
        <w:jc w:val="center"/>
        <w:rPr>
          <w:rFonts w:ascii="Times New Roman" w:hAnsi="Times New Roman" w:cs="Times New Roman"/>
          <w:b/>
          <w:sz w:val="24"/>
          <w:szCs w:val="24"/>
        </w:rPr>
      </w:pPr>
    </w:p>
    <w:p w14:paraId="3FA0E7EE" w14:textId="77777777" w:rsidR="00BA504C" w:rsidRDefault="00BA504C" w:rsidP="000943B8">
      <w:pPr>
        <w:widowControl w:val="0"/>
        <w:spacing w:after="0" w:line="480" w:lineRule="auto"/>
        <w:jc w:val="center"/>
        <w:rPr>
          <w:rFonts w:ascii="Times New Roman" w:hAnsi="Times New Roman" w:cs="Times New Roman"/>
          <w:b/>
          <w:sz w:val="24"/>
          <w:szCs w:val="24"/>
        </w:rPr>
        <w:sectPr w:rsidR="00BA504C" w:rsidSect="00BA4A2D">
          <w:footerReference w:type="default" r:id="rId9"/>
          <w:type w:val="continuous"/>
          <w:pgSz w:w="12240" w:h="15840"/>
          <w:pgMar w:top="1440" w:right="1440" w:bottom="1440" w:left="1440" w:header="720" w:footer="720" w:gutter="0"/>
          <w:pgNumType w:fmt="lowerRoman" w:start="4"/>
          <w:cols w:space="720"/>
          <w:docGrid w:linePitch="360"/>
        </w:sectPr>
      </w:pPr>
    </w:p>
    <w:p w14:paraId="3301D5AB" w14:textId="1AC10B16" w:rsidR="004B5398" w:rsidRPr="00AD36D9" w:rsidRDefault="004B5398" w:rsidP="00BA4A2D">
      <w:pPr>
        <w:widowControl w:val="0"/>
        <w:spacing w:after="0" w:line="480" w:lineRule="auto"/>
        <w:jc w:val="center"/>
        <w:rPr>
          <w:rFonts w:ascii="Times New Roman" w:hAnsi="Times New Roman" w:cs="Times New Roman"/>
          <w:b/>
          <w:sz w:val="24"/>
          <w:szCs w:val="24"/>
        </w:rPr>
      </w:pPr>
      <w:r w:rsidRPr="00AD36D9">
        <w:rPr>
          <w:rFonts w:ascii="Times New Roman" w:hAnsi="Times New Roman" w:cs="Times New Roman"/>
          <w:b/>
          <w:sz w:val="24"/>
          <w:szCs w:val="24"/>
        </w:rPr>
        <w:lastRenderedPageBreak/>
        <w:t>Chapter 1: Introduction</w:t>
      </w:r>
    </w:p>
    <w:p w14:paraId="686EC36E" w14:textId="77777777" w:rsidR="004B5398" w:rsidRPr="00AD36D9" w:rsidRDefault="004B5398" w:rsidP="00BA4A2D">
      <w:pPr>
        <w:pStyle w:val="Heading2"/>
      </w:pPr>
      <w:bookmarkStart w:id="1" w:name="_Toc117501904"/>
      <w:r w:rsidRPr="003F7FE4">
        <w:t>Background</w:t>
      </w:r>
      <w:r w:rsidRPr="00AD36D9">
        <w:t xml:space="preserve"> of the Study</w:t>
      </w:r>
      <w:bookmarkEnd w:id="1"/>
    </w:p>
    <w:p w14:paraId="48514591" w14:textId="4408BD07" w:rsidR="009E5887" w:rsidRDefault="00C769A0" w:rsidP="000943B8">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Computing and information processing </w:t>
      </w:r>
      <w:r w:rsidR="00407A81" w:rsidRPr="00AD36D9">
        <w:rPr>
          <w:rFonts w:ascii="Times New Roman" w:hAnsi="Times New Roman" w:cs="Times New Roman"/>
          <w:sz w:val="24"/>
          <w:szCs w:val="24"/>
        </w:rPr>
        <w:t xml:space="preserve">career options continue to grow and evolve into new potential pathways of success for students. </w:t>
      </w:r>
      <w:r w:rsidR="008E129F" w:rsidRPr="00AD36D9">
        <w:rPr>
          <w:rFonts w:ascii="Times New Roman" w:hAnsi="Times New Roman" w:cs="Times New Roman"/>
          <w:sz w:val="24"/>
          <w:szCs w:val="24"/>
        </w:rPr>
        <w:t xml:space="preserve">Careers in data storage, management, and analysis are on the rise. </w:t>
      </w:r>
      <w:r w:rsidR="00D821CE" w:rsidRPr="00AD36D9">
        <w:rPr>
          <w:rFonts w:ascii="Times New Roman" w:hAnsi="Times New Roman" w:cs="Times New Roman"/>
          <w:sz w:val="24"/>
          <w:szCs w:val="24"/>
        </w:rPr>
        <w:t>The Bureau of Labor Statistics (</w:t>
      </w:r>
      <w:r w:rsidR="003F7FE4">
        <w:rPr>
          <w:rFonts w:ascii="Times New Roman" w:hAnsi="Times New Roman" w:cs="Times New Roman"/>
          <w:sz w:val="24"/>
          <w:szCs w:val="24"/>
        </w:rPr>
        <w:t xml:space="preserve">BLS, </w:t>
      </w:r>
      <w:r w:rsidR="00D821CE" w:rsidRPr="00AD36D9">
        <w:rPr>
          <w:rFonts w:ascii="Times New Roman" w:hAnsi="Times New Roman" w:cs="Times New Roman"/>
          <w:sz w:val="24"/>
          <w:szCs w:val="24"/>
        </w:rPr>
        <w:t xml:space="preserve">2020) projects that computer and information technology occupations </w:t>
      </w:r>
      <w:r w:rsidR="00407A81" w:rsidRPr="00AD36D9">
        <w:rPr>
          <w:rFonts w:ascii="Times New Roman" w:hAnsi="Times New Roman" w:cs="Times New Roman"/>
          <w:sz w:val="24"/>
          <w:szCs w:val="24"/>
        </w:rPr>
        <w:t>will</w:t>
      </w:r>
      <w:r w:rsidR="00D821CE" w:rsidRPr="00AD36D9">
        <w:rPr>
          <w:rFonts w:ascii="Times New Roman" w:hAnsi="Times New Roman" w:cs="Times New Roman"/>
          <w:sz w:val="24"/>
          <w:szCs w:val="24"/>
        </w:rPr>
        <w:t xml:space="preserve"> grow faster than any other occupation between 20</w:t>
      </w:r>
      <w:r w:rsidR="001F402F">
        <w:rPr>
          <w:rFonts w:ascii="Times New Roman" w:hAnsi="Times New Roman" w:cs="Times New Roman"/>
          <w:sz w:val="24"/>
          <w:szCs w:val="24"/>
        </w:rPr>
        <w:t>20</w:t>
      </w:r>
      <w:r w:rsidR="00D821CE" w:rsidRPr="00AD36D9">
        <w:rPr>
          <w:rFonts w:ascii="Times New Roman" w:hAnsi="Times New Roman" w:cs="Times New Roman"/>
          <w:sz w:val="24"/>
          <w:szCs w:val="24"/>
        </w:rPr>
        <w:t xml:space="preserve"> and 20</w:t>
      </w:r>
      <w:r w:rsidR="001F402F">
        <w:rPr>
          <w:rFonts w:ascii="Times New Roman" w:hAnsi="Times New Roman" w:cs="Times New Roman"/>
          <w:sz w:val="24"/>
          <w:szCs w:val="24"/>
        </w:rPr>
        <w:t>30</w:t>
      </w:r>
      <w:r w:rsidR="00D821CE" w:rsidRPr="00AD36D9">
        <w:rPr>
          <w:rFonts w:ascii="Times New Roman" w:hAnsi="Times New Roman" w:cs="Times New Roman"/>
          <w:sz w:val="24"/>
          <w:szCs w:val="24"/>
        </w:rPr>
        <w:t xml:space="preserve"> with </w:t>
      </w:r>
      <w:r w:rsidR="00407A81" w:rsidRPr="00AD36D9">
        <w:rPr>
          <w:rFonts w:ascii="Times New Roman" w:hAnsi="Times New Roman" w:cs="Times New Roman"/>
          <w:sz w:val="24"/>
          <w:szCs w:val="24"/>
        </w:rPr>
        <w:t xml:space="preserve">an expected </w:t>
      </w:r>
      <w:r w:rsidR="00D821CE" w:rsidRPr="00AD36D9">
        <w:rPr>
          <w:rFonts w:ascii="Times New Roman" w:hAnsi="Times New Roman" w:cs="Times New Roman"/>
          <w:sz w:val="24"/>
          <w:szCs w:val="24"/>
        </w:rPr>
        <w:t xml:space="preserve">addition of over </w:t>
      </w:r>
      <w:r w:rsidR="001F402F">
        <w:rPr>
          <w:rFonts w:ascii="Times New Roman" w:hAnsi="Times New Roman" w:cs="Times New Roman"/>
          <w:sz w:val="24"/>
          <w:szCs w:val="24"/>
        </w:rPr>
        <w:t>660,000</w:t>
      </w:r>
      <w:r w:rsidR="00D821CE" w:rsidRPr="00AD36D9">
        <w:rPr>
          <w:rFonts w:ascii="Times New Roman" w:hAnsi="Times New Roman" w:cs="Times New Roman"/>
          <w:sz w:val="24"/>
          <w:szCs w:val="24"/>
        </w:rPr>
        <w:t xml:space="preserve"> new jobs. Part of this demand is driven by the growing emphasis in cloud computing, large data storage</w:t>
      </w:r>
      <w:r w:rsidR="00612649">
        <w:rPr>
          <w:rFonts w:ascii="Times New Roman" w:hAnsi="Times New Roman" w:cs="Times New Roman"/>
          <w:sz w:val="24"/>
          <w:szCs w:val="24"/>
        </w:rPr>
        <w:t>,</w:t>
      </w:r>
      <w:r w:rsidR="00D821CE" w:rsidRPr="00AD36D9">
        <w:rPr>
          <w:rFonts w:ascii="Times New Roman" w:hAnsi="Times New Roman" w:cs="Times New Roman"/>
          <w:sz w:val="24"/>
          <w:szCs w:val="24"/>
        </w:rPr>
        <w:t xml:space="preserve"> and information security (BLS, 2020)</w:t>
      </w:r>
      <w:r w:rsidR="00736F31" w:rsidRPr="00AD36D9">
        <w:rPr>
          <w:rFonts w:ascii="Times New Roman" w:hAnsi="Times New Roman" w:cs="Times New Roman"/>
          <w:sz w:val="24"/>
          <w:szCs w:val="24"/>
        </w:rPr>
        <w:t>.</w:t>
      </w:r>
      <w:r w:rsidR="008E129F" w:rsidRPr="00AD36D9">
        <w:rPr>
          <w:rFonts w:ascii="Times New Roman" w:hAnsi="Times New Roman" w:cs="Times New Roman"/>
          <w:sz w:val="24"/>
          <w:szCs w:val="24"/>
        </w:rPr>
        <w:t xml:space="preserve"> Related to data management is the growing application and use of artificial intelligence (AI). </w:t>
      </w:r>
      <w:r w:rsidR="001240BF">
        <w:rPr>
          <w:rFonts w:ascii="Times New Roman" w:hAnsi="Times New Roman" w:cs="Times New Roman"/>
          <w:sz w:val="24"/>
          <w:szCs w:val="24"/>
        </w:rPr>
        <w:t>R</w:t>
      </w:r>
      <w:r w:rsidR="001240BF" w:rsidRPr="00AD36D9">
        <w:rPr>
          <w:rFonts w:ascii="Times New Roman" w:hAnsi="Times New Roman" w:cs="Times New Roman"/>
          <w:sz w:val="24"/>
          <w:szCs w:val="24"/>
        </w:rPr>
        <w:t>etailers are planning to invest in AI technologies by 2021</w:t>
      </w:r>
      <w:r w:rsidR="001240BF">
        <w:rPr>
          <w:rFonts w:ascii="Times New Roman" w:hAnsi="Times New Roman" w:cs="Times New Roman"/>
          <w:sz w:val="24"/>
          <w:szCs w:val="24"/>
        </w:rPr>
        <w:t>, with 80% planning</w:t>
      </w:r>
      <w:r w:rsidR="009E5887">
        <w:rPr>
          <w:rFonts w:ascii="Times New Roman" w:hAnsi="Times New Roman" w:cs="Times New Roman"/>
          <w:sz w:val="24"/>
          <w:szCs w:val="24"/>
        </w:rPr>
        <w:t xml:space="preserve"> to invest </w:t>
      </w:r>
      <w:r w:rsidR="00D821CE" w:rsidRPr="00AD36D9">
        <w:rPr>
          <w:rFonts w:ascii="Times New Roman" w:hAnsi="Times New Roman" w:cs="Times New Roman"/>
          <w:sz w:val="24"/>
          <w:szCs w:val="24"/>
        </w:rPr>
        <w:t>for big data solutions, 77% for asset tracking solutions, 74% for cognitive computing, and 73% for tracking customer traffic</w:t>
      </w:r>
      <w:r w:rsidR="001240BF">
        <w:rPr>
          <w:rFonts w:ascii="Times New Roman" w:hAnsi="Times New Roman" w:cs="Times New Roman"/>
          <w:sz w:val="24"/>
          <w:szCs w:val="24"/>
        </w:rPr>
        <w:t xml:space="preserve"> (Neary et al., 2018)</w:t>
      </w:r>
      <w:r w:rsidR="00D821CE" w:rsidRPr="00AD36D9">
        <w:rPr>
          <w:rFonts w:ascii="Times New Roman" w:hAnsi="Times New Roman" w:cs="Times New Roman"/>
          <w:sz w:val="24"/>
          <w:szCs w:val="24"/>
        </w:rPr>
        <w:t xml:space="preserve">. Mobile internet and cloud technology </w:t>
      </w:r>
      <w:r w:rsidR="001240BF">
        <w:rPr>
          <w:rFonts w:ascii="Times New Roman" w:hAnsi="Times New Roman" w:cs="Times New Roman"/>
          <w:sz w:val="24"/>
          <w:szCs w:val="24"/>
        </w:rPr>
        <w:t>are</w:t>
      </w:r>
      <w:r w:rsidR="00827406">
        <w:rPr>
          <w:rFonts w:ascii="Times New Roman" w:hAnsi="Times New Roman" w:cs="Times New Roman"/>
          <w:sz w:val="24"/>
          <w:szCs w:val="24"/>
        </w:rPr>
        <w:t xml:space="preserve"> some</w:t>
      </w:r>
      <w:r w:rsidR="00393BBE" w:rsidRPr="00AD36D9">
        <w:rPr>
          <w:rFonts w:ascii="Times New Roman" w:hAnsi="Times New Roman" w:cs="Times New Roman"/>
          <w:sz w:val="24"/>
          <w:szCs w:val="24"/>
        </w:rPr>
        <w:t xml:space="preserve"> of the greatest</w:t>
      </w:r>
      <w:r w:rsidR="00D821CE" w:rsidRPr="00AD36D9">
        <w:rPr>
          <w:rFonts w:ascii="Times New Roman" w:hAnsi="Times New Roman" w:cs="Times New Roman"/>
          <w:sz w:val="24"/>
          <w:szCs w:val="24"/>
        </w:rPr>
        <w:t xml:space="preserve"> technological driver</w:t>
      </w:r>
      <w:r w:rsidR="00393BBE" w:rsidRPr="00AD36D9">
        <w:rPr>
          <w:rFonts w:ascii="Times New Roman" w:hAnsi="Times New Roman" w:cs="Times New Roman"/>
          <w:sz w:val="24"/>
          <w:szCs w:val="24"/>
        </w:rPr>
        <w:t>s</w:t>
      </w:r>
      <w:r w:rsidR="00D821CE" w:rsidRPr="00AD36D9">
        <w:rPr>
          <w:rFonts w:ascii="Times New Roman" w:hAnsi="Times New Roman" w:cs="Times New Roman"/>
          <w:sz w:val="24"/>
          <w:szCs w:val="24"/>
        </w:rPr>
        <w:t xml:space="preserve"> of change </w:t>
      </w:r>
      <w:r w:rsidR="00827406">
        <w:rPr>
          <w:rFonts w:ascii="Times New Roman" w:hAnsi="Times New Roman" w:cs="Times New Roman"/>
          <w:sz w:val="24"/>
          <w:szCs w:val="24"/>
        </w:rPr>
        <w:t>in</w:t>
      </w:r>
      <w:r w:rsidR="00827406" w:rsidRPr="00AD36D9">
        <w:rPr>
          <w:rFonts w:ascii="Times New Roman" w:hAnsi="Times New Roman" w:cs="Times New Roman"/>
          <w:sz w:val="24"/>
          <w:szCs w:val="24"/>
        </w:rPr>
        <w:t xml:space="preserve"> </w:t>
      </w:r>
      <w:r w:rsidR="00D821CE" w:rsidRPr="00AD36D9">
        <w:rPr>
          <w:rFonts w:ascii="Times New Roman" w:hAnsi="Times New Roman" w:cs="Times New Roman"/>
          <w:sz w:val="24"/>
          <w:szCs w:val="24"/>
        </w:rPr>
        <w:t>retailer</w:t>
      </w:r>
      <w:r w:rsidR="00827406">
        <w:rPr>
          <w:rFonts w:ascii="Times New Roman" w:hAnsi="Times New Roman" w:cs="Times New Roman"/>
          <w:sz w:val="24"/>
          <w:szCs w:val="24"/>
        </w:rPr>
        <w:t>s’</w:t>
      </w:r>
      <w:r w:rsidR="00D821CE" w:rsidRPr="00AD36D9">
        <w:rPr>
          <w:rFonts w:ascii="Times New Roman" w:hAnsi="Times New Roman" w:cs="Times New Roman"/>
          <w:sz w:val="24"/>
          <w:szCs w:val="24"/>
        </w:rPr>
        <w:t xml:space="preserve"> business models (Neary et al., 2018). </w:t>
      </w:r>
    </w:p>
    <w:p w14:paraId="4EB3255A" w14:textId="69B16479" w:rsidR="0058149B" w:rsidRDefault="006347F1" w:rsidP="000943B8">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Yet</w:t>
      </w:r>
      <w:r w:rsidR="009E5887">
        <w:rPr>
          <w:rFonts w:ascii="Times New Roman" w:hAnsi="Times New Roman" w:cs="Times New Roman"/>
          <w:sz w:val="24"/>
          <w:szCs w:val="24"/>
        </w:rPr>
        <w:t xml:space="preserve">, amid all those plans for AI expansion, the </w:t>
      </w:r>
      <w:r w:rsidR="00C769A0">
        <w:rPr>
          <w:rFonts w:ascii="Times New Roman" w:hAnsi="Times New Roman" w:cs="Times New Roman"/>
          <w:sz w:val="24"/>
          <w:szCs w:val="24"/>
        </w:rPr>
        <w:t>U</w:t>
      </w:r>
      <w:r w:rsidR="009E5887">
        <w:rPr>
          <w:rFonts w:ascii="Times New Roman" w:hAnsi="Times New Roman" w:cs="Times New Roman"/>
          <w:sz w:val="24"/>
          <w:szCs w:val="24"/>
        </w:rPr>
        <w:t>.S.</w:t>
      </w:r>
      <w:r w:rsidR="00C769A0">
        <w:rPr>
          <w:rFonts w:ascii="Times New Roman" w:hAnsi="Times New Roman" w:cs="Times New Roman"/>
          <w:sz w:val="24"/>
          <w:szCs w:val="24"/>
        </w:rPr>
        <w:t xml:space="preserve"> </w:t>
      </w:r>
      <w:r w:rsidR="002C0237">
        <w:rPr>
          <w:rFonts w:ascii="Times New Roman" w:hAnsi="Times New Roman" w:cs="Times New Roman"/>
          <w:sz w:val="24"/>
          <w:szCs w:val="24"/>
        </w:rPr>
        <w:t>is losing ground on its top market share of the capacity for AI development</w:t>
      </w:r>
      <w:r w:rsidR="003E7B65">
        <w:rPr>
          <w:rFonts w:ascii="Times New Roman" w:hAnsi="Times New Roman" w:cs="Times New Roman"/>
          <w:sz w:val="24"/>
          <w:szCs w:val="24"/>
        </w:rPr>
        <w:t xml:space="preserve"> in supercomputing</w:t>
      </w:r>
      <w:r w:rsidR="006F6C34">
        <w:rPr>
          <w:rFonts w:ascii="Times New Roman" w:hAnsi="Times New Roman" w:cs="Times New Roman"/>
          <w:sz w:val="24"/>
          <w:szCs w:val="24"/>
        </w:rPr>
        <w:t xml:space="preserve"> </w:t>
      </w:r>
      <w:r w:rsidR="009E5887">
        <w:rPr>
          <w:rFonts w:ascii="Times New Roman" w:hAnsi="Times New Roman" w:cs="Times New Roman"/>
          <w:sz w:val="24"/>
          <w:szCs w:val="24"/>
        </w:rPr>
        <w:t xml:space="preserve">capabilities which </w:t>
      </w:r>
      <w:r w:rsidR="009E5887" w:rsidRPr="00AD36D9">
        <w:rPr>
          <w:rFonts w:ascii="Times New Roman" w:hAnsi="Times New Roman" w:cs="Times New Roman"/>
          <w:sz w:val="24"/>
          <w:szCs w:val="24"/>
        </w:rPr>
        <w:t>contribute to an industry’s capacity for developing AI</w:t>
      </w:r>
      <w:r w:rsidR="00827406">
        <w:rPr>
          <w:rFonts w:ascii="Times New Roman" w:hAnsi="Times New Roman" w:cs="Times New Roman"/>
          <w:sz w:val="24"/>
          <w:szCs w:val="24"/>
        </w:rPr>
        <w:t xml:space="preserve"> (Cahill, 2020; Tadjdeh, 2018).</w:t>
      </w:r>
      <w:r w:rsidR="009E5887" w:rsidRPr="00AD36D9">
        <w:rPr>
          <w:rFonts w:ascii="Times New Roman" w:hAnsi="Times New Roman" w:cs="Times New Roman"/>
          <w:sz w:val="24"/>
          <w:szCs w:val="24"/>
        </w:rPr>
        <w:t xml:space="preserve"> </w:t>
      </w:r>
      <w:r w:rsidR="008C41A8" w:rsidRPr="00AD36D9">
        <w:rPr>
          <w:rFonts w:ascii="Times New Roman" w:hAnsi="Times New Roman" w:cs="Times New Roman"/>
          <w:sz w:val="24"/>
          <w:szCs w:val="24"/>
        </w:rPr>
        <w:t>T</w:t>
      </w:r>
      <w:r w:rsidR="00D821CE" w:rsidRPr="00AD36D9">
        <w:rPr>
          <w:rFonts w:ascii="Times New Roman" w:hAnsi="Times New Roman" w:cs="Times New Roman"/>
          <w:sz w:val="24"/>
          <w:szCs w:val="24"/>
        </w:rPr>
        <w:t>he greatest share of the 100 most powerful computers in the world</w:t>
      </w:r>
      <w:r w:rsidR="008C41A8" w:rsidRPr="00AD36D9">
        <w:rPr>
          <w:rFonts w:ascii="Times New Roman" w:hAnsi="Times New Roman" w:cs="Times New Roman"/>
          <w:sz w:val="24"/>
          <w:szCs w:val="24"/>
        </w:rPr>
        <w:t xml:space="preserve"> continues to be held by the U</w:t>
      </w:r>
      <w:r w:rsidR="009E5887">
        <w:rPr>
          <w:rFonts w:ascii="Times New Roman" w:hAnsi="Times New Roman" w:cs="Times New Roman"/>
          <w:sz w:val="24"/>
          <w:szCs w:val="24"/>
        </w:rPr>
        <w:t>.</w:t>
      </w:r>
      <w:r w:rsidR="008C41A8" w:rsidRPr="00AD36D9">
        <w:rPr>
          <w:rFonts w:ascii="Times New Roman" w:hAnsi="Times New Roman" w:cs="Times New Roman"/>
          <w:sz w:val="24"/>
          <w:szCs w:val="24"/>
        </w:rPr>
        <w:t>S</w:t>
      </w:r>
      <w:r w:rsidR="00D821CE" w:rsidRPr="00AD36D9">
        <w:rPr>
          <w:rFonts w:ascii="Times New Roman" w:hAnsi="Times New Roman" w:cs="Times New Roman"/>
          <w:sz w:val="24"/>
          <w:szCs w:val="24"/>
        </w:rPr>
        <w:t>.</w:t>
      </w:r>
      <w:r w:rsidR="009E5887">
        <w:rPr>
          <w:rFonts w:ascii="Times New Roman" w:hAnsi="Times New Roman" w:cs="Times New Roman"/>
          <w:sz w:val="24"/>
          <w:szCs w:val="24"/>
        </w:rPr>
        <w:t>; h</w:t>
      </w:r>
      <w:r w:rsidR="00D821CE" w:rsidRPr="00AD36D9">
        <w:rPr>
          <w:rFonts w:ascii="Times New Roman" w:hAnsi="Times New Roman" w:cs="Times New Roman"/>
          <w:sz w:val="24"/>
          <w:szCs w:val="24"/>
        </w:rPr>
        <w:t>owever, this share has dropped from 43% to 37% between 2010 and 2019 (National Science Board, 2019)</w:t>
      </w:r>
      <w:r w:rsidR="00113A27">
        <w:rPr>
          <w:rFonts w:ascii="Times New Roman" w:hAnsi="Times New Roman" w:cs="Times New Roman"/>
          <w:sz w:val="24"/>
          <w:szCs w:val="24"/>
        </w:rPr>
        <w:t>,</w:t>
      </w:r>
      <w:r w:rsidR="00D821CE" w:rsidRPr="00AD36D9">
        <w:rPr>
          <w:rFonts w:ascii="Times New Roman" w:hAnsi="Times New Roman" w:cs="Times New Roman"/>
          <w:sz w:val="24"/>
          <w:szCs w:val="24"/>
        </w:rPr>
        <w:t xml:space="preserve"> indicating that the U</w:t>
      </w:r>
      <w:r w:rsidR="009E5887">
        <w:rPr>
          <w:rFonts w:ascii="Times New Roman" w:hAnsi="Times New Roman" w:cs="Times New Roman"/>
          <w:sz w:val="24"/>
          <w:szCs w:val="24"/>
        </w:rPr>
        <w:t xml:space="preserve">.S. </w:t>
      </w:r>
      <w:r w:rsidR="00D821CE" w:rsidRPr="00AD36D9">
        <w:rPr>
          <w:rFonts w:ascii="Times New Roman" w:hAnsi="Times New Roman" w:cs="Times New Roman"/>
          <w:sz w:val="24"/>
          <w:szCs w:val="24"/>
        </w:rPr>
        <w:t xml:space="preserve">is not growing </w:t>
      </w:r>
      <w:r w:rsidR="00393BBE" w:rsidRPr="00AD36D9">
        <w:rPr>
          <w:rFonts w:ascii="Times New Roman" w:hAnsi="Times New Roman" w:cs="Times New Roman"/>
          <w:sz w:val="24"/>
          <w:szCs w:val="24"/>
        </w:rPr>
        <w:t xml:space="preserve">as rapidly as other nations </w:t>
      </w:r>
      <w:r w:rsidR="00D821CE" w:rsidRPr="00AD36D9">
        <w:rPr>
          <w:rFonts w:ascii="Times New Roman" w:hAnsi="Times New Roman" w:cs="Times New Roman"/>
          <w:sz w:val="24"/>
          <w:szCs w:val="24"/>
        </w:rPr>
        <w:t xml:space="preserve">in </w:t>
      </w:r>
      <w:r w:rsidR="00971C15">
        <w:rPr>
          <w:rFonts w:ascii="Times New Roman" w:hAnsi="Times New Roman" w:cs="Times New Roman"/>
          <w:sz w:val="24"/>
          <w:szCs w:val="24"/>
        </w:rPr>
        <w:t>c</w:t>
      </w:r>
      <w:r w:rsidR="002C0237">
        <w:rPr>
          <w:rFonts w:ascii="Times New Roman" w:hAnsi="Times New Roman" w:cs="Times New Roman"/>
          <w:sz w:val="24"/>
          <w:szCs w:val="24"/>
        </w:rPr>
        <w:t>omputing and information processing</w:t>
      </w:r>
      <w:r w:rsidR="00D821CE" w:rsidRPr="00AD36D9">
        <w:rPr>
          <w:rFonts w:ascii="Times New Roman" w:hAnsi="Times New Roman" w:cs="Times New Roman"/>
          <w:sz w:val="24"/>
          <w:szCs w:val="24"/>
        </w:rPr>
        <w:t>.</w:t>
      </w:r>
      <w:r w:rsidR="00523E7B">
        <w:rPr>
          <w:rFonts w:ascii="Times New Roman" w:hAnsi="Times New Roman" w:cs="Times New Roman"/>
          <w:sz w:val="24"/>
          <w:szCs w:val="24"/>
        </w:rPr>
        <w:t xml:space="preserve"> </w:t>
      </w:r>
      <w:r w:rsidR="002054C0">
        <w:rPr>
          <w:rFonts w:ascii="Times New Roman" w:hAnsi="Times New Roman" w:cs="Times New Roman"/>
          <w:sz w:val="24"/>
          <w:szCs w:val="24"/>
        </w:rPr>
        <w:t xml:space="preserve">There is a significant need for the U.S. to increase its supercomputing capabilities not only </w:t>
      </w:r>
      <w:r w:rsidR="001D0C94">
        <w:rPr>
          <w:rFonts w:ascii="Times New Roman" w:hAnsi="Times New Roman" w:cs="Times New Roman"/>
          <w:sz w:val="24"/>
          <w:szCs w:val="24"/>
        </w:rPr>
        <w:t>for industry demands, but also to</w:t>
      </w:r>
      <w:r w:rsidR="002054C0">
        <w:rPr>
          <w:rFonts w:ascii="Times New Roman" w:hAnsi="Times New Roman" w:cs="Times New Roman"/>
          <w:sz w:val="24"/>
          <w:szCs w:val="24"/>
        </w:rPr>
        <w:t xml:space="preserve"> remain globally competitive</w:t>
      </w:r>
      <w:r w:rsidR="001D0C94">
        <w:rPr>
          <w:rFonts w:ascii="Times New Roman" w:hAnsi="Times New Roman" w:cs="Times New Roman"/>
          <w:sz w:val="24"/>
          <w:szCs w:val="24"/>
        </w:rPr>
        <w:t>.</w:t>
      </w:r>
      <w:r w:rsidR="008C41A8" w:rsidRPr="00AD36D9">
        <w:rPr>
          <w:rFonts w:ascii="Times New Roman" w:hAnsi="Times New Roman" w:cs="Times New Roman"/>
          <w:sz w:val="24"/>
          <w:szCs w:val="24"/>
        </w:rPr>
        <w:t xml:space="preserve"> </w:t>
      </w:r>
    </w:p>
    <w:p w14:paraId="457CC841" w14:textId="1BB4BA1B" w:rsidR="00D821CE" w:rsidRPr="00AD36D9" w:rsidRDefault="0058149B" w:rsidP="00BA4A2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Unfortunately, t</w:t>
      </w:r>
      <w:r w:rsidR="00D821CE" w:rsidRPr="00AD36D9">
        <w:rPr>
          <w:rFonts w:ascii="Times New Roman" w:hAnsi="Times New Roman" w:cs="Times New Roman"/>
          <w:sz w:val="24"/>
          <w:szCs w:val="24"/>
        </w:rPr>
        <w:t xml:space="preserve">he opportunity to participate in the information and technology boom predicted in the future by the </w:t>
      </w:r>
      <w:r w:rsidR="009E5887">
        <w:rPr>
          <w:rFonts w:ascii="Times New Roman" w:hAnsi="Times New Roman" w:cs="Times New Roman"/>
          <w:sz w:val="24"/>
          <w:szCs w:val="24"/>
        </w:rPr>
        <w:t>BLS</w:t>
      </w:r>
      <w:r w:rsidR="00D821CE" w:rsidRPr="00AD36D9">
        <w:rPr>
          <w:rFonts w:ascii="Times New Roman" w:hAnsi="Times New Roman" w:cs="Times New Roman"/>
          <w:sz w:val="24"/>
          <w:szCs w:val="24"/>
        </w:rPr>
        <w:t xml:space="preserve"> is not equally shared by both men and women</w:t>
      </w:r>
      <w:r w:rsidR="00736F31" w:rsidRPr="00AD36D9">
        <w:rPr>
          <w:rFonts w:ascii="Times New Roman" w:hAnsi="Times New Roman" w:cs="Times New Roman"/>
          <w:sz w:val="24"/>
          <w:szCs w:val="24"/>
        </w:rPr>
        <w:t xml:space="preserve">. </w:t>
      </w:r>
      <w:r w:rsidR="0028160D">
        <w:rPr>
          <w:rFonts w:ascii="Times New Roman" w:hAnsi="Times New Roman" w:cs="Times New Roman"/>
          <w:sz w:val="24"/>
          <w:szCs w:val="24"/>
        </w:rPr>
        <w:t>W</w:t>
      </w:r>
      <w:r w:rsidR="00D821CE" w:rsidRPr="00AD36D9">
        <w:rPr>
          <w:rFonts w:ascii="Times New Roman" w:hAnsi="Times New Roman" w:cs="Times New Roman"/>
          <w:sz w:val="24"/>
          <w:szCs w:val="24"/>
        </w:rPr>
        <w:t xml:space="preserve">omen </w:t>
      </w:r>
      <w:r w:rsidR="00D821CE" w:rsidRPr="00AD36D9">
        <w:rPr>
          <w:rFonts w:ascii="Times New Roman" w:hAnsi="Times New Roman" w:cs="Times New Roman"/>
          <w:sz w:val="24"/>
          <w:szCs w:val="24"/>
        </w:rPr>
        <w:lastRenderedPageBreak/>
        <w:t xml:space="preserve">continue to be underrepresented in these fields. In </w:t>
      </w:r>
      <w:r w:rsidR="00DB1054">
        <w:rPr>
          <w:rFonts w:ascii="Times New Roman" w:hAnsi="Times New Roman" w:cs="Times New Roman"/>
          <w:sz w:val="24"/>
          <w:szCs w:val="24"/>
        </w:rPr>
        <w:t>2022</w:t>
      </w:r>
      <w:r w:rsidR="00D821CE" w:rsidRPr="00AD36D9">
        <w:rPr>
          <w:rFonts w:ascii="Times New Roman" w:hAnsi="Times New Roman" w:cs="Times New Roman"/>
          <w:sz w:val="24"/>
          <w:szCs w:val="24"/>
        </w:rPr>
        <w:t>, 2</w:t>
      </w:r>
      <w:r w:rsidR="00DB1054">
        <w:rPr>
          <w:rFonts w:ascii="Times New Roman" w:hAnsi="Times New Roman" w:cs="Times New Roman"/>
          <w:sz w:val="24"/>
          <w:szCs w:val="24"/>
        </w:rPr>
        <w:t>6.2</w:t>
      </w:r>
      <w:r w:rsidR="00D821CE" w:rsidRPr="00AD36D9">
        <w:rPr>
          <w:rFonts w:ascii="Times New Roman" w:hAnsi="Times New Roman" w:cs="Times New Roman"/>
          <w:sz w:val="24"/>
          <w:szCs w:val="24"/>
        </w:rPr>
        <w:t xml:space="preserve">% of </w:t>
      </w:r>
      <w:r w:rsidR="0028160D">
        <w:rPr>
          <w:rFonts w:ascii="Times New Roman" w:hAnsi="Times New Roman" w:cs="Times New Roman"/>
          <w:sz w:val="24"/>
          <w:szCs w:val="24"/>
        </w:rPr>
        <w:t>c</w:t>
      </w:r>
      <w:r w:rsidR="00D821CE" w:rsidRPr="00AD36D9">
        <w:rPr>
          <w:rFonts w:ascii="Times New Roman" w:hAnsi="Times New Roman" w:cs="Times New Roman"/>
          <w:sz w:val="24"/>
          <w:szCs w:val="24"/>
        </w:rPr>
        <w:t>omputer/math and 1</w:t>
      </w:r>
      <w:r w:rsidR="00DB1054">
        <w:rPr>
          <w:rFonts w:ascii="Times New Roman" w:hAnsi="Times New Roman" w:cs="Times New Roman"/>
          <w:sz w:val="24"/>
          <w:szCs w:val="24"/>
        </w:rPr>
        <w:t>7.4</w:t>
      </w:r>
      <w:r w:rsidR="00D821CE" w:rsidRPr="00AD36D9">
        <w:rPr>
          <w:rFonts w:ascii="Times New Roman" w:hAnsi="Times New Roman" w:cs="Times New Roman"/>
          <w:sz w:val="24"/>
          <w:szCs w:val="24"/>
        </w:rPr>
        <w:t>% of architecture</w:t>
      </w:r>
      <w:r w:rsidR="004E2CD4">
        <w:rPr>
          <w:rFonts w:ascii="Times New Roman" w:hAnsi="Times New Roman" w:cs="Times New Roman"/>
          <w:sz w:val="24"/>
          <w:szCs w:val="24"/>
        </w:rPr>
        <w:t>/</w:t>
      </w:r>
      <w:r w:rsidR="00D821CE" w:rsidRPr="00AD36D9">
        <w:rPr>
          <w:rFonts w:ascii="Times New Roman" w:hAnsi="Times New Roman" w:cs="Times New Roman"/>
          <w:sz w:val="24"/>
          <w:szCs w:val="24"/>
        </w:rPr>
        <w:t>engineering occupations were held by women (U</w:t>
      </w:r>
      <w:r w:rsidR="001D0C94">
        <w:rPr>
          <w:rFonts w:ascii="Times New Roman" w:hAnsi="Times New Roman" w:cs="Times New Roman"/>
          <w:sz w:val="24"/>
          <w:szCs w:val="24"/>
        </w:rPr>
        <w:t>.</w:t>
      </w:r>
      <w:r w:rsidR="00D821CE" w:rsidRPr="00AD36D9">
        <w:rPr>
          <w:rFonts w:ascii="Times New Roman" w:hAnsi="Times New Roman" w:cs="Times New Roman"/>
          <w:sz w:val="24"/>
          <w:szCs w:val="24"/>
        </w:rPr>
        <w:t>S</w:t>
      </w:r>
      <w:r w:rsidR="001D0C94">
        <w:rPr>
          <w:rFonts w:ascii="Times New Roman" w:hAnsi="Times New Roman" w:cs="Times New Roman"/>
          <w:sz w:val="24"/>
          <w:szCs w:val="24"/>
        </w:rPr>
        <w:t>.</w:t>
      </w:r>
      <w:r w:rsidR="00D821CE" w:rsidRPr="00AD36D9">
        <w:rPr>
          <w:rFonts w:ascii="Times New Roman" w:hAnsi="Times New Roman" w:cs="Times New Roman"/>
          <w:sz w:val="24"/>
          <w:szCs w:val="24"/>
        </w:rPr>
        <w:t xml:space="preserve"> Bureau of Labor Statistics, 20</w:t>
      </w:r>
      <w:r w:rsidR="00DB1054">
        <w:rPr>
          <w:rFonts w:ascii="Times New Roman" w:hAnsi="Times New Roman" w:cs="Times New Roman"/>
          <w:sz w:val="24"/>
          <w:szCs w:val="24"/>
        </w:rPr>
        <w:t>22</w:t>
      </w:r>
      <w:r w:rsidR="00D821CE" w:rsidRPr="00AD36D9">
        <w:rPr>
          <w:rFonts w:ascii="Times New Roman" w:hAnsi="Times New Roman" w:cs="Times New Roman"/>
          <w:sz w:val="24"/>
          <w:szCs w:val="24"/>
        </w:rPr>
        <w:t>). Limits on these opportunities can be found by looking at patterns in higher education for women. From 2000 to 2017, women earning a bachelor’s degree in computer science dropped from 28% to 19% (National Science Board, 20</w:t>
      </w:r>
      <w:r w:rsidR="004F6D53">
        <w:rPr>
          <w:rFonts w:ascii="Times New Roman" w:hAnsi="Times New Roman" w:cs="Times New Roman"/>
          <w:sz w:val="24"/>
          <w:szCs w:val="24"/>
        </w:rPr>
        <w:t>19</w:t>
      </w:r>
      <w:r w:rsidR="00D821CE" w:rsidRPr="00AD36D9">
        <w:rPr>
          <w:rFonts w:ascii="Times New Roman" w:hAnsi="Times New Roman" w:cs="Times New Roman"/>
          <w:sz w:val="24"/>
          <w:szCs w:val="24"/>
        </w:rPr>
        <w:t xml:space="preserve">). </w:t>
      </w:r>
      <w:r w:rsidR="006347F1">
        <w:rPr>
          <w:rFonts w:ascii="Times New Roman" w:hAnsi="Times New Roman" w:cs="Times New Roman"/>
          <w:sz w:val="24"/>
          <w:szCs w:val="24"/>
        </w:rPr>
        <w:t>There is</w:t>
      </w:r>
      <w:r w:rsidR="008335AB">
        <w:rPr>
          <w:rFonts w:ascii="Times New Roman" w:hAnsi="Times New Roman" w:cs="Times New Roman"/>
          <w:sz w:val="24"/>
          <w:szCs w:val="24"/>
        </w:rPr>
        <w:t xml:space="preserve"> an</w:t>
      </w:r>
      <w:r w:rsidR="00D821CE" w:rsidRPr="00AD36D9">
        <w:rPr>
          <w:rFonts w:ascii="Times New Roman" w:hAnsi="Times New Roman" w:cs="Times New Roman"/>
          <w:sz w:val="24"/>
          <w:szCs w:val="24"/>
        </w:rPr>
        <w:t xml:space="preserve"> underrepresentation of women across all levels of </w:t>
      </w:r>
      <w:r w:rsidR="008335AB">
        <w:rPr>
          <w:rFonts w:ascii="Times New Roman" w:hAnsi="Times New Roman" w:cs="Times New Roman"/>
          <w:sz w:val="24"/>
          <w:szCs w:val="24"/>
        </w:rPr>
        <w:t xml:space="preserve">engineering </w:t>
      </w:r>
      <w:r w:rsidR="00D821CE" w:rsidRPr="00AD36D9">
        <w:rPr>
          <w:rFonts w:ascii="Times New Roman" w:hAnsi="Times New Roman" w:cs="Times New Roman"/>
          <w:sz w:val="24"/>
          <w:szCs w:val="24"/>
        </w:rPr>
        <w:t>higher education in 2018</w:t>
      </w:r>
      <w:r w:rsidR="008335AB">
        <w:rPr>
          <w:rFonts w:ascii="Times New Roman" w:hAnsi="Times New Roman" w:cs="Times New Roman"/>
          <w:sz w:val="24"/>
          <w:szCs w:val="24"/>
        </w:rPr>
        <w:t>, when wo</w:t>
      </w:r>
      <w:r w:rsidR="00D821CE" w:rsidRPr="00AD36D9">
        <w:rPr>
          <w:rFonts w:ascii="Times New Roman" w:hAnsi="Times New Roman" w:cs="Times New Roman"/>
          <w:sz w:val="24"/>
          <w:szCs w:val="24"/>
        </w:rPr>
        <w:t xml:space="preserve">men earned 21.9% of bachelor’s, 26.7% of master’s, and 23.6% of doctoral degrees in engineering (Roy, 2018). </w:t>
      </w:r>
    </w:p>
    <w:p w14:paraId="11B9E8AF" w14:textId="2530EF4A" w:rsidR="00637591" w:rsidRPr="00AD36D9" w:rsidRDefault="00D821CE" w:rsidP="00BA4A2D">
      <w:pPr>
        <w:widowControl w:val="0"/>
        <w:spacing w:after="0" w:line="480" w:lineRule="auto"/>
        <w:ind w:firstLine="720"/>
        <w:rPr>
          <w:rFonts w:ascii="Times New Roman" w:eastAsia="Times New Roman" w:hAnsi="Times New Roman" w:cs="Times New Roman"/>
          <w:sz w:val="24"/>
          <w:szCs w:val="24"/>
          <w:lang w:val="en-GB" w:eastAsia="en-GB"/>
        </w:rPr>
      </w:pPr>
      <w:r w:rsidRPr="00AD36D9">
        <w:rPr>
          <w:rFonts w:ascii="Times New Roman" w:hAnsi="Times New Roman" w:cs="Times New Roman"/>
          <w:sz w:val="24"/>
          <w:szCs w:val="24"/>
        </w:rPr>
        <w:t xml:space="preserve">What path should be </w:t>
      </w:r>
      <w:r w:rsidR="00832BAA" w:rsidRPr="00AD36D9">
        <w:rPr>
          <w:rFonts w:ascii="Times New Roman" w:hAnsi="Times New Roman" w:cs="Times New Roman"/>
          <w:sz w:val="24"/>
          <w:szCs w:val="24"/>
        </w:rPr>
        <w:t>strengthened</w:t>
      </w:r>
      <w:r w:rsidRPr="00AD36D9">
        <w:rPr>
          <w:rFonts w:ascii="Times New Roman" w:hAnsi="Times New Roman" w:cs="Times New Roman"/>
          <w:sz w:val="24"/>
          <w:szCs w:val="24"/>
        </w:rPr>
        <w:t xml:space="preserve"> if we are to enable women to participate more equally in science and engineering? </w:t>
      </w:r>
      <w:r w:rsidR="000D0828" w:rsidRPr="00AD36D9">
        <w:rPr>
          <w:rFonts w:ascii="Times New Roman" w:hAnsi="Times New Roman" w:cs="Times New Roman"/>
          <w:sz w:val="24"/>
          <w:szCs w:val="24"/>
        </w:rPr>
        <w:t>According to the National Science Board (2019), strengthening s</w:t>
      </w:r>
      <w:r w:rsidRPr="00AD36D9">
        <w:rPr>
          <w:rFonts w:ascii="Times New Roman" w:hAnsi="Times New Roman" w:cs="Times New Roman"/>
          <w:sz w:val="24"/>
          <w:szCs w:val="24"/>
        </w:rPr>
        <w:t>cience, technology, engineering, and mathematics (STEM) competencies</w:t>
      </w:r>
      <w:r w:rsidR="000D0828" w:rsidRPr="00AD36D9">
        <w:rPr>
          <w:rFonts w:ascii="Times New Roman" w:hAnsi="Times New Roman" w:cs="Times New Roman"/>
          <w:sz w:val="24"/>
          <w:szCs w:val="24"/>
        </w:rPr>
        <w:t xml:space="preserve"> in</w:t>
      </w:r>
      <w:r w:rsidRPr="00AD36D9">
        <w:rPr>
          <w:rFonts w:ascii="Times New Roman" w:hAnsi="Times New Roman" w:cs="Times New Roman"/>
          <w:sz w:val="24"/>
          <w:szCs w:val="24"/>
        </w:rPr>
        <w:t xml:space="preserve"> secondary schooling </w:t>
      </w:r>
      <w:r w:rsidR="000D0828" w:rsidRPr="00AD36D9">
        <w:rPr>
          <w:rFonts w:ascii="Times New Roman" w:hAnsi="Times New Roman" w:cs="Times New Roman"/>
          <w:sz w:val="24"/>
          <w:szCs w:val="24"/>
        </w:rPr>
        <w:t>leads</w:t>
      </w:r>
      <w:r w:rsidRPr="00AD36D9">
        <w:rPr>
          <w:rFonts w:ascii="Times New Roman" w:hAnsi="Times New Roman" w:cs="Times New Roman"/>
          <w:sz w:val="24"/>
          <w:szCs w:val="24"/>
        </w:rPr>
        <w:t xml:space="preserve"> to a </w:t>
      </w:r>
      <w:r w:rsidR="000D0828" w:rsidRPr="00AD36D9">
        <w:rPr>
          <w:rFonts w:ascii="Times New Roman" w:hAnsi="Times New Roman" w:cs="Times New Roman"/>
          <w:sz w:val="24"/>
          <w:szCs w:val="24"/>
        </w:rPr>
        <w:t>science and engineering capable</w:t>
      </w:r>
      <w:r w:rsidRPr="00AD36D9">
        <w:rPr>
          <w:rFonts w:ascii="Times New Roman" w:hAnsi="Times New Roman" w:cs="Times New Roman"/>
          <w:sz w:val="24"/>
          <w:szCs w:val="24"/>
        </w:rPr>
        <w:t xml:space="preserve"> workforce</w:t>
      </w:r>
      <w:r w:rsidR="000D0828" w:rsidRPr="00AD36D9">
        <w:rPr>
          <w:rFonts w:ascii="Times New Roman" w:hAnsi="Times New Roman" w:cs="Times New Roman"/>
          <w:sz w:val="24"/>
          <w:szCs w:val="24"/>
        </w:rPr>
        <w:t>.</w:t>
      </w:r>
      <w:r w:rsidRPr="00AD36D9">
        <w:rPr>
          <w:rFonts w:ascii="Times New Roman" w:hAnsi="Times New Roman" w:cs="Times New Roman"/>
          <w:sz w:val="24"/>
          <w:szCs w:val="24"/>
        </w:rPr>
        <w:t xml:space="preserve"> </w:t>
      </w:r>
      <w:r w:rsidRPr="00AD36D9">
        <w:rPr>
          <w:rFonts w:ascii="Times New Roman" w:eastAsia="Times New Roman" w:hAnsi="Times New Roman" w:cs="Times New Roman"/>
          <w:sz w:val="24"/>
          <w:szCs w:val="24"/>
          <w:lang w:val="en-GB" w:eastAsia="en-GB"/>
        </w:rPr>
        <w:t xml:space="preserve">One </w:t>
      </w:r>
      <w:r w:rsidR="00C667FF" w:rsidRPr="00AD36D9">
        <w:rPr>
          <w:rFonts w:ascii="Times New Roman" w:eastAsia="Times New Roman" w:hAnsi="Times New Roman" w:cs="Times New Roman"/>
          <w:sz w:val="24"/>
          <w:szCs w:val="24"/>
          <w:lang w:val="en-GB" w:eastAsia="en-GB"/>
        </w:rPr>
        <w:t>feasible way</w:t>
      </w:r>
      <w:r w:rsidRPr="00AD36D9">
        <w:rPr>
          <w:rFonts w:ascii="Times New Roman" w:eastAsia="Times New Roman" w:hAnsi="Times New Roman" w:cs="Times New Roman"/>
          <w:sz w:val="24"/>
          <w:szCs w:val="24"/>
          <w:lang w:val="en-GB" w:eastAsia="en-GB"/>
        </w:rPr>
        <w:t xml:space="preserve"> to bolster the number of women pursuing STEM careers is by providing more physics experience</w:t>
      </w:r>
      <w:r w:rsidR="0088054D">
        <w:rPr>
          <w:rFonts w:ascii="Times New Roman" w:eastAsia="Times New Roman" w:hAnsi="Times New Roman" w:cs="Times New Roman"/>
          <w:sz w:val="24"/>
          <w:szCs w:val="24"/>
          <w:lang w:val="en-GB" w:eastAsia="en-GB"/>
        </w:rPr>
        <w:t>s</w:t>
      </w:r>
      <w:r w:rsidRPr="00AD36D9">
        <w:rPr>
          <w:rFonts w:ascii="Times New Roman" w:eastAsia="Times New Roman" w:hAnsi="Times New Roman" w:cs="Times New Roman"/>
          <w:sz w:val="24"/>
          <w:szCs w:val="24"/>
          <w:lang w:val="en-GB" w:eastAsia="en-GB"/>
        </w:rPr>
        <w:t xml:space="preserve"> in high school</w:t>
      </w:r>
      <w:r w:rsidR="0088054D">
        <w:rPr>
          <w:rFonts w:ascii="Times New Roman" w:eastAsia="Times New Roman" w:hAnsi="Times New Roman" w:cs="Times New Roman"/>
          <w:sz w:val="24"/>
          <w:szCs w:val="24"/>
          <w:lang w:val="en-GB" w:eastAsia="en-GB"/>
        </w:rPr>
        <w:t xml:space="preserve">. In particular, </w:t>
      </w:r>
      <w:r w:rsidR="008335AB">
        <w:rPr>
          <w:rFonts w:ascii="Times New Roman" w:eastAsia="Times New Roman" w:hAnsi="Times New Roman" w:cs="Times New Roman"/>
          <w:sz w:val="24"/>
          <w:szCs w:val="24"/>
          <w:lang w:val="en-GB" w:eastAsia="en-GB"/>
        </w:rPr>
        <w:t>s</w:t>
      </w:r>
      <w:r w:rsidRPr="00AD36D9">
        <w:rPr>
          <w:rFonts w:ascii="Times New Roman" w:eastAsia="Times New Roman" w:hAnsi="Times New Roman" w:cs="Times New Roman"/>
          <w:sz w:val="24"/>
          <w:szCs w:val="24"/>
          <w:lang w:val="en-GB" w:eastAsia="en-GB"/>
        </w:rPr>
        <w:t>tudents who take two years of physics are significantly more likely to pursue a career in STEM fields (Sadler</w:t>
      </w:r>
      <w:r w:rsidR="000D0828" w:rsidRPr="00AD36D9">
        <w:rPr>
          <w:rFonts w:ascii="Times New Roman" w:eastAsia="Times New Roman" w:hAnsi="Times New Roman" w:cs="Times New Roman"/>
          <w:sz w:val="24"/>
          <w:szCs w:val="24"/>
          <w:lang w:val="en-GB" w:eastAsia="en-GB"/>
        </w:rPr>
        <w:t xml:space="preserve"> et al.</w:t>
      </w:r>
      <w:r w:rsidRPr="00AD36D9">
        <w:rPr>
          <w:rFonts w:ascii="Times New Roman" w:eastAsia="Times New Roman" w:hAnsi="Times New Roman" w:cs="Times New Roman"/>
          <w:sz w:val="24"/>
          <w:szCs w:val="24"/>
          <w:lang w:val="en-GB" w:eastAsia="en-GB"/>
        </w:rPr>
        <w:t xml:space="preserve">, 2014). </w:t>
      </w:r>
    </w:p>
    <w:p w14:paraId="5ED5AC2A" w14:textId="77777777" w:rsidR="004B5398" w:rsidRPr="00AD36D9" w:rsidRDefault="004B5398" w:rsidP="00BA4A2D">
      <w:pPr>
        <w:pStyle w:val="Heading2"/>
      </w:pPr>
      <w:bookmarkStart w:id="2" w:name="_Toc117501905"/>
      <w:r w:rsidRPr="00AD36D9">
        <w:t>Problem Statement and Significance of the Study</w:t>
      </w:r>
      <w:bookmarkEnd w:id="2"/>
    </w:p>
    <w:p w14:paraId="463AA9B7" w14:textId="5ADC729C" w:rsidR="004B5398" w:rsidRPr="00AD36D9" w:rsidRDefault="00A22D43" w:rsidP="00BA4A2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w:t>
      </w:r>
      <w:r w:rsidR="00284AE9">
        <w:rPr>
          <w:rFonts w:ascii="Times New Roman" w:hAnsi="Times New Roman" w:cs="Times New Roman"/>
          <w:sz w:val="24"/>
          <w:szCs w:val="24"/>
        </w:rPr>
        <w:t xml:space="preserve">ue both to </w:t>
      </w:r>
      <w:r w:rsidR="00C56BDB" w:rsidRPr="00AD36D9">
        <w:rPr>
          <w:rFonts w:ascii="Times New Roman" w:hAnsi="Times New Roman" w:cs="Times New Roman"/>
          <w:sz w:val="24"/>
          <w:szCs w:val="24"/>
        </w:rPr>
        <w:t>limitation</w:t>
      </w:r>
      <w:r w:rsidR="00284AE9">
        <w:rPr>
          <w:rFonts w:ascii="Times New Roman" w:hAnsi="Times New Roman" w:cs="Times New Roman"/>
          <w:sz w:val="24"/>
          <w:szCs w:val="24"/>
        </w:rPr>
        <w:t>s</w:t>
      </w:r>
      <w:r w:rsidR="00C56BDB" w:rsidRPr="00AD36D9">
        <w:rPr>
          <w:rFonts w:ascii="Times New Roman" w:hAnsi="Times New Roman" w:cs="Times New Roman"/>
          <w:sz w:val="24"/>
          <w:szCs w:val="24"/>
        </w:rPr>
        <w:t xml:space="preserve"> in students</w:t>
      </w:r>
      <w:r w:rsidR="00C5704A" w:rsidRPr="00AD36D9">
        <w:rPr>
          <w:rFonts w:ascii="Times New Roman" w:hAnsi="Times New Roman" w:cs="Times New Roman"/>
          <w:sz w:val="24"/>
          <w:szCs w:val="24"/>
        </w:rPr>
        <w:t>’</w:t>
      </w:r>
      <w:r w:rsidR="00C56BDB" w:rsidRPr="00AD36D9">
        <w:rPr>
          <w:rFonts w:ascii="Times New Roman" w:hAnsi="Times New Roman" w:cs="Times New Roman"/>
          <w:sz w:val="24"/>
          <w:szCs w:val="24"/>
        </w:rPr>
        <w:t xml:space="preserve"> schedules </w:t>
      </w:r>
      <w:r w:rsidR="00284AE9">
        <w:rPr>
          <w:rFonts w:ascii="Times New Roman" w:hAnsi="Times New Roman" w:cs="Times New Roman"/>
          <w:sz w:val="24"/>
          <w:szCs w:val="24"/>
        </w:rPr>
        <w:t>and</w:t>
      </w:r>
      <w:r w:rsidR="00C56BDB" w:rsidRPr="00AD36D9">
        <w:rPr>
          <w:rFonts w:ascii="Times New Roman" w:hAnsi="Times New Roman" w:cs="Times New Roman"/>
          <w:sz w:val="24"/>
          <w:szCs w:val="24"/>
        </w:rPr>
        <w:t xml:space="preserve"> the</w:t>
      </w:r>
      <w:r w:rsidR="00C667FF">
        <w:rPr>
          <w:rFonts w:ascii="Times New Roman" w:hAnsi="Times New Roman" w:cs="Times New Roman"/>
          <w:sz w:val="24"/>
          <w:szCs w:val="24"/>
        </w:rPr>
        <w:t>ir narrowed</w:t>
      </w:r>
      <w:r w:rsidR="00C56BDB" w:rsidRPr="00AD36D9">
        <w:rPr>
          <w:rFonts w:ascii="Times New Roman" w:hAnsi="Times New Roman" w:cs="Times New Roman"/>
          <w:sz w:val="24"/>
          <w:szCs w:val="24"/>
        </w:rPr>
        <w:t xml:space="preserve"> focus on interests</w:t>
      </w:r>
      <w:r>
        <w:rPr>
          <w:rFonts w:ascii="Times New Roman" w:hAnsi="Times New Roman" w:cs="Times New Roman"/>
          <w:sz w:val="24"/>
          <w:szCs w:val="24"/>
        </w:rPr>
        <w:t xml:space="preserve">, </w:t>
      </w:r>
      <w:r w:rsidR="0056311E">
        <w:rPr>
          <w:rFonts w:ascii="Times New Roman" w:hAnsi="Times New Roman" w:cs="Times New Roman"/>
          <w:sz w:val="24"/>
          <w:szCs w:val="24"/>
        </w:rPr>
        <w:t>i</w:t>
      </w:r>
      <w:r w:rsidRPr="00AD36D9">
        <w:rPr>
          <w:rFonts w:ascii="Times New Roman" w:hAnsi="Times New Roman" w:cs="Times New Roman"/>
          <w:sz w:val="24"/>
          <w:szCs w:val="24"/>
        </w:rPr>
        <w:t>t is typical for the number of high school students taking a first year of physics to be larger than those taking a second</w:t>
      </w:r>
      <w:r w:rsidRPr="00CC6416">
        <w:rPr>
          <w:rFonts w:ascii="Times New Roman" w:hAnsi="Times New Roman" w:cs="Times New Roman"/>
          <w:sz w:val="24"/>
          <w:szCs w:val="24"/>
        </w:rPr>
        <w:t xml:space="preserve"> year of physics in high school (</w:t>
      </w:r>
      <w:r>
        <w:rPr>
          <w:rFonts w:ascii="Times New Roman" w:hAnsi="Times New Roman" w:cs="Times New Roman"/>
          <w:sz w:val="24"/>
          <w:szCs w:val="24"/>
        </w:rPr>
        <w:t>White &amp; Tesfaye</w:t>
      </w:r>
      <w:r w:rsidRPr="00CC6416">
        <w:rPr>
          <w:rFonts w:ascii="Times New Roman" w:hAnsi="Times New Roman" w:cs="Times New Roman"/>
          <w:sz w:val="24"/>
          <w:szCs w:val="24"/>
        </w:rPr>
        <w:t>, 2014)</w:t>
      </w:r>
      <w:r w:rsidR="00284AE9">
        <w:rPr>
          <w:rFonts w:ascii="Times New Roman" w:hAnsi="Times New Roman" w:cs="Times New Roman"/>
          <w:sz w:val="24"/>
          <w:szCs w:val="24"/>
        </w:rPr>
        <w:t>. These factors</w:t>
      </w:r>
      <w:r w:rsidR="00C56BDB" w:rsidRPr="00AD36D9">
        <w:rPr>
          <w:rFonts w:ascii="Times New Roman" w:hAnsi="Times New Roman" w:cs="Times New Roman"/>
          <w:sz w:val="24"/>
          <w:szCs w:val="24"/>
        </w:rPr>
        <w:t xml:space="preserve"> </w:t>
      </w:r>
      <w:r w:rsidR="00284AE9">
        <w:rPr>
          <w:rFonts w:ascii="Times New Roman" w:hAnsi="Times New Roman" w:cs="Times New Roman"/>
          <w:sz w:val="24"/>
          <w:szCs w:val="24"/>
        </w:rPr>
        <w:t>force</w:t>
      </w:r>
      <w:r w:rsidR="00C56BDB" w:rsidRPr="00AD36D9">
        <w:rPr>
          <w:rFonts w:ascii="Times New Roman" w:hAnsi="Times New Roman" w:cs="Times New Roman"/>
          <w:sz w:val="24"/>
          <w:szCs w:val="24"/>
        </w:rPr>
        <w:t xml:space="preserve"> students </w:t>
      </w:r>
      <w:r w:rsidR="006E25A9">
        <w:rPr>
          <w:rFonts w:ascii="Times New Roman" w:hAnsi="Times New Roman" w:cs="Times New Roman"/>
          <w:sz w:val="24"/>
          <w:szCs w:val="24"/>
        </w:rPr>
        <w:t xml:space="preserve">to </w:t>
      </w:r>
      <w:r w:rsidR="00C56BDB" w:rsidRPr="00AD36D9">
        <w:rPr>
          <w:rFonts w:ascii="Times New Roman" w:hAnsi="Times New Roman" w:cs="Times New Roman"/>
          <w:sz w:val="24"/>
          <w:szCs w:val="24"/>
        </w:rPr>
        <w:t>mak</w:t>
      </w:r>
      <w:r w:rsidR="00603EF5" w:rsidRPr="00AD36D9">
        <w:rPr>
          <w:rFonts w:ascii="Times New Roman" w:hAnsi="Times New Roman" w:cs="Times New Roman"/>
          <w:sz w:val="24"/>
          <w:szCs w:val="24"/>
        </w:rPr>
        <w:t>e</w:t>
      </w:r>
      <w:r w:rsidR="00C56BDB" w:rsidRPr="00AD36D9">
        <w:rPr>
          <w:rFonts w:ascii="Times New Roman" w:hAnsi="Times New Roman" w:cs="Times New Roman"/>
          <w:sz w:val="24"/>
          <w:szCs w:val="24"/>
        </w:rPr>
        <w:t xml:space="preserve"> choices on which disciplines of science they will continue to pursue as a senior year high school student.</w:t>
      </w:r>
      <w:r w:rsidR="00284AE9">
        <w:rPr>
          <w:rFonts w:ascii="Times New Roman" w:hAnsi="Times New Roman" w:cs="Times New Roman"/>
          <w:sz w:val="24"/>
          <w:szCs w:val="24"/>
        </w:rPr>
        <w:t xml:space="preserve"> Women disproportionally choose not to pursue physics as a senior in high school. </w:t>
      </w:r>
      <w:r w:rsidR="00542A15" w:rsidRPr="00AD36D9">
        <w:rPr>
          <w:rFonts w:ascii="Times New Roman" w:hAnsi="Times New Roman" w:cs="Times New Roman"/>
          <w:sz w:val="24"/>
          <w:szCs w:val="24"/>
        </w:rPr>
        <w:t xml:space="preserve">This change in </w:t>
      </w:r>
      <w:r w:rsidR="002C3B47" w:rsidRPr="00AD36D9">
        <w:rPr>
          <w:rFonts w:ascii="Times New Roman" w:hAnsi="Times New Roman" w:cs="Times New Roman"/>
          <w:sz w:val="24"/>
          <w:szCs w:val="24"/>
        </w:rPr>
        <w:t>representation of women</w:t>
      </w:r>
      <w:r w:rsidR="00542A15" w:rsidRPr="00AD36D9">
        <w:rPr>
          <w:rFonts w:ascii="Times New Roman" w:hAnsi="Times New Roman" w:cs="Times New Roman"/>
          <w:sz w:val="24"/>
          <w:szCs w:val="24"/>
        </w:rPr>
        <w:t xml:space="preserve"> </w:t>
      </w:r>
      <w:r w:rsidR="00284AE9">
        <w:rPr>
          <w:rFonts w:ascii="Times New Roman" w:hAnsi="Times New Roman" w:cs="Times New Roman"/>
          <w:sz w:val="24"/>
          <w:szCs w:val="24"/>
        </w:rPr>
        <w:t>in high school physics</w:t>
      </w:r>
      <w:r w:rsidR="00542A15" w:rsidRPr="00AD36D9">
        <w:rPr>
          <w:rFonts w:ascii="Times New Roman" w:hAnsi="Times New Roman" w:cs="Times New Roman"/>
          <w:sz w:val="24"/>
          <w:szCs w:val="24"/>
        </w:rPr>
        <w:t xml:space="preserve"> can be seen by looking at Advanced Placement </w:t>
      </w:r>
      <w:r w:rsidR="006119C1">
        <w:rPr>
          <w:rFonts w:ascii="Times New Roman" w:hAnsi="Times New Roman" w:cs="Times New Roman"/>
          <w:sz w:val="24"/>
          <w:szCs w:val="24"/>
        </w:rPr>
        <w:t xml:space="preserve">(AP) </w:t>
      </w:r>
      <w:r w:rsidR="00542A15" w:rsidRPr="00AD36D9">
        <w:rPr>
          <w:rFonts w:ascii="Times New Roman" w:hAnsi="Times New Roman" w:cs="Times New Roman"/>
          <w:sz w:val="24"/>
          <w:szCs w:val="24"/>
        </w:rPr>
        <w:t>test data. In 2017, women made up 40% of AP Physics 1 test takers (College Board, 2017)</w:t>
      </w:r>
      <w:r w:rsidR="00736F31" w:rsidRPr="00AD36D9">
        <w:rPr>
          <w:rFonts w:ascii="Times New Roman" w:hAnsi="Times New Roman" w:cs="Times New Roman"/>
          <w:sz w:val="24"/>
          <w:szCs w:val="24"/>
        </w:rPr>
        <w:t xml:space="preserve">. </w:t>
      </w:r>
      <w:r w:rsidR="005D6820">
        <w:rPr>
          <w:rFonts w:ascii="Times New Roman" w:hAnsi="Times New Roman" w:cs="Times New Roman"/>
          <w:sz w:val="24"/>
          <w:szCs w:val="24"/>
        </w:rPr>
        <w:t>AP Physics</w:t>
      </w:r>
      <w:r w:rsidR="005D6820" w:rsidRPr="00AD36D9">
        <w:rPr>
          <w:rFonts w:ascii="Times New Roman" w:hAnsi="Times New Roman" w:cs="Times New Roman"/>
          <w:sz w:val="24"/>
          <w:szCs w:val="24"/>
        </w:rPr>
        <w:t xml:space="preserve"> </w:t>
      </w:r>
      <w:r w:rsidR="00542A15" w:rsidRPr="00AD36D9">
        <w:rPr>
          <w:rFonts w:ascii="Times New Roman" w:hAnsi="Times New Roman" w:cs="Times New Roman"/>
          <w:sz w:val="24"/>
          <w:szCs w:val="24"/>
        </w:rPr>
        <w:t xml:space="preserve">is an advanced level of introductory physics. The </w:t>
      </w:r>
      <w:r w:rsidR="00542A15" w:rsidRPr="00AD36D9">
        <w:rPr>
          <w:rFonts w:ascii="Times New Roman" w:hAnsi="Times New Roman" w:cs="Times New Roman"/>
          <w:sz w:val="24"/>
          <w:szCs w:val="24"/>
        </w:rPr>
        <w:lastRenderedPageBreak/>
        <w:t>typical second year of advanced high school physics is separated i</w:t>
      </w:r>
      <w:r w:rsidR="00CA6CF0" w:rsidRPr="00AD36D9">
        <w:rPr>
          <w:rFonts w:ascii="Times New Roman" w:hAnsi="Times New Roman" w:cs="Times New Roman"/>
          <w:sz w:val="24"/>
          <w:szCs w:val="24"/>
        </w:rPr>
        <w:t>nto two semester long courses called AP Physics C</w:t>
      </w:r>
      <w:r w:rsidR="005D6820">
        <w:rPr>
          <w:rFonts w:ascii="Times New Roman" w:hAnsi="Times New Roman" w:cs="Times New Roman"/>
          <w:sz w:val="24"/>
          <w:szCs w:val="24"/>
        </w:rPr>
        <w:t xml:space="preserve">, which </w:t>
      </w:r>
      <w:r w:rsidR="004B5398" w:rsidRPr="00AD36D9">
        <w:rPr>
          <w:rFonts w:ascii="Times New Roman" w:eastAsiaTheme="minorEastAsia" w:hAnsi="Times New Roman" w:cs="Times New Roman"/>
          <w:bCs/>
          <w:color w:val="000000" w:themeColor="text1"/>
          <w:kern w:val="24"/>
          <w:sz w:val="24"/>
          <w:szCs w:val="24"/>
        </w:rPr>
        <w:t>is split into two separate semester courses with women making up 28.3% of the enrollment in mechanics and 24.3% in the electricity and magnetism course (College Board, 2017)</w:t>
      </w:r>
      <w:r w:rsidR="00736F31" w:rsidRPr="00AD36D9">
        <w:rPr>
          <w:rFonts w:ascii="Times New Roman" w:eastAsiaTheme="minorEastAsia" w:hAnsi="Times New Roman" w:cs="Times New Roman"/>
          <w:bCs/>
          <w:color w:val="000000" w:themeColor="text1"/>
          <w:kern w:val="24"/>
          <w:sz w:val="24"/>
          <w:szCs w:val="24"/>
        </w:rPr>
        <w:t xml:space="preserve">. </w:t>
      </w:r>
      <w:r w:rsidR="003D61D6">
        <w:rPr>
          <w:rFonts w:ascii="Times New Roman" w:eastAsiaTheme="minorEastAsia" w:hAnsi="Times New Roman" w:cs="Times New Roman"/>
          <w:bCs/>
          <w:color w:val="000000" w:themeColor="text1"/>
          <w:kern w:val="24"/>
          <w:sz w:val="24"/>
          <w:szCs w:val="24"/>
        </w:rPr>
        <w:t>Amid those disparities,</w:t>
      </w:r>
      <w:r w:rsidR="00603EF5" w:rsidRPr="00AD36D9">
        <w:rPr>
          <w:rFonts w:ascii="Times New Roman" w:eastAsiaTheme="minorEastAsia" w:hAnsi="Times New Roman" w:cs="Times New Roman"/>
          <w:bCs/>
          <w:color w:val="000000" w:themeColor="text1"/>
          <w:kern w:val="24"/>
          <w:sz w:val="24"/>
          <w:szCs w:val="24"/>
        </w:rPr>
        <w:t xml:space="preserve"> t</w:t>
      </w:r>
      <w:r w:rsidR="00603EF5" w:rsidRPr="00AD36D9">
        <w:rPr>
          <w:rFonts w:ascii="Times New Roman" w:eastAsia="Times New Roman" w:hAnsi="Times New Roman" w:cs="Times New Roman"/>
          <w:sz w:val="24"/>
          <w:szCs w:val="24"/>
          <w:lang w:val="en-GB" w:eastAsia="en-GB"/>
        </w:rPr>
        <w:t>here is a lack of understanding on why there is a disproportionately low percentage of women taking a seco</w:t>
      </w:r>
      <w:r w:rsidR="0028160D">
        <w:rPr>
          <w:rFonts w:ascii="Times New Roman" w:eastAsia="Times New Roman" w:hAnsi="Times New Roman" w:cs="Times New Roman"/>
          <w:sz w:val="24"/>
          <w:szCs w:val="24"/>
          <w:lang w:val="en-GB" w:eastAsia="en-GB"/>
        </w:rPr>
        <w:t>nd year of high school physics.</w:t>
      </w:r>
    </w:p>
    <w:p w14:paraId="21CAAB82" w14:textId="27DF2A71" w:rsidR="00CA3730" w:rsidRPr="00FA4373" w:rsidRDefault="004B5398" w:rsidP="00BA4A2D">
      <w:pPr>
        <w:widowControl w:val="0"/>
        <w:spacing w:after="0" w:line="480" w:lineRule="auto"/>
        <w:ind w:firstLine="720"/>
        <w:rPr>
          <w:rFonts w:ascii="Times New Roman" w:eastAsia="Times New Roman" w:hAnsi="Times New Roman" w:cs="Times New Roman"/>
          <w:sz w:val="24"/>
          <w:szCs w:val="24"/>
          <w:lang w:val="en-GB" w:eastAsia="en-GB"/>
        </w:rPr>
      </w:pPr>
      <w:r w:rsidRPr="00AD36D9">
        <w:rPr>
          <w:rFonts w:ascii="Times New Roman" w:eastAsiaTheme="minorEastAsia" w:hAnsi="Times New Roman" w:cs="Times New Roman"/>
          <w:bCs/>
          <w:color w:val="000000" w:themeColor="text1"/>
          <w:kern w:val="24"/>
          <w:sz w:val="24"/>
          <w:szCs w:val="24"/>
        </w:rPr>
        <w:t xml:space="preserve"> </w:t>
      </w:r>
      <w:r w:rsidR="00CC6416">
        <w:rPr>
          <w:rFonts w:ascii="Times New Roman" w:eastAsiaTheme="minorEastAsia" w:hAnsi="Times New Roman" w:cs="Times New Roman"/>
          <w:bCs/>
          <w:color w:val="000000" w:themeColor="text1"/>
          <w:kern w:val="24"/>
          <w:sz w:val="24"/>
          <w:szCs w:val="24"/>
        </w:rPr>
        <w:t>Th</w:t>
      </w:r>
      <w:r w:rsidR="00B26EEC">
        <w:rPr>
          <w:rFonts w:ascii="Times New Roman" w:eastAsiaTheme="minorEastAsia" w:hAnsi="Times New Roman" w:cs="Times New Roman"/>
          <w:bCs/>
          <w:color w:val="000000" w:themeColor="text1"/>
          <w:kern w:val="24"/>
          <w:sz w:val="24"/>
          <w:szCs w:val="24"/>
        </w:rPr>
        <w:t xml:space="preserve">e gender disparity in </w:t>
      </w:r>
      <w:r w:rsidR="00AA4713">
        <w:rPr>
          <w:rFonts w:ascii="Times New Roman" w:eastAsiaTheme="minorEastAsia" w:hAnsi="Times New Roman" w:cs="Times New Roman"/>
          <w:bCs/>
          <w:color w:val="000000" w:themeColor="text1"/>
          <w:kern w:val="24"/>
          <w:sz w:val="24"/>
          <w:szCs w:val="24"/>
        </w:rPr>
        <w:t xml:space="preserve">second year </w:t>
      </w:r>
      <w:r w:rsidR="00B26EEC">
        <w:rPr>
          <w:rFonts w:ascii="Times New Roman" w:eastAsiaTheme="minorEastAsia" w:hAnsi="Times New Roman" w:cs="Times New Roman"/>
          <w:bCs/>
          <w:color w:val="000000" w:themeColor="text1"/>
          <w:kern w:val="24"/>
          <w:sz w:val="24"/>
          <w:szCs w:val="24"/>
        </w:rPr>
        <w:t xml:space="preserve">high school physics </w:t>
      </w:r>
      <w:r w:rsidR="00CA6CF0" w:rsidRPr="00AD36D9">
        <w:rPr>
          <w:rFonts w:ascii="Times New Roman" w:eastAsiaTheme="minorEastAsia" w:hAnsi="Times New Roman" w:cs="Times New Roman"/>
          <w:bCs/>
          <w:color w:val="000000" w:themeColor="text1"/>
          <w:kern w:val="24"/>
          <w:sz w:val="24"/>
          <w:szCs w:val="24"/>
        </w:rPr>
        <w:t xml:space="preserve">is significant because </w:t>
      </w:r>
      <w:r w:rsidR="00AA4713">
        <w:rPr>
          <w:rFonts w:ascii="Times New Roman" w:eastAsiaTheme="minorEastAsia" w:hAnsi="Times New Roman" w:cs="Times New Roman"/>
          <w:bCs/>
          <w:color w:val="000000" w:themeColor="text1"/>
          <w:kern w:val="24"/>
          <w:sz w:val="24"/>
          <w:szCs w:val="24"/>
        </w:rPr>
        <w:t xml:space="preserve">it represents </w:t>
      </w:r>
      <w:r w:rsidR="00CA6CF0" w:rsidRPr="00AD36D9">
        <w:rPr>
          <w:rFonts w:ascii="Times New Roman" w:eastAsiaTheme="minorEastAsia" w:hAnsi="Times New Roman" w:cs="Times New Roman"/>
          <w:bCs/>
          <w:color w:val="000000" w:themeColor="text1"/>
          <w:kern w:val="24"/>
          <w:sz w:val="24"/>
          <w:szCs w:val="24"/>
        </w:rPr>
        <w:t xml:space="preserve">a </w:t>
      </w:r>
      <w:r w:rsidRPr="00AD36D9">
        <w:rPr>
          <w:rFonts w:ascii="Times New Roman" w:eastAsiaTheme="minorEastAsia" w:hAnsi="Times New Roman" w:cs="Times New Roman"/>
          <w:bCs/>
          <w:color w:val="000000" w:themeColor="text1"/>
          <w:kern w:val="24"/>
          <w:sz w:val="24"/>
          <w:szCs w:val="24"/>
        </w:rPr>
        <w:t xml:space="preserve">transition point in the STEM career trajectories of women </w:t>
      </w:r>
      <w:r w:rsidR="00945C0F">
        <w:rPr>
          <w:rFonts w:ascii="Times New Roman" w:eastAsiaTheme="minorEastAsia" w:hAnsi="Times New Roman" w:cs="Times New Roman"/>
          <w:bCs/>
          <w:color w:val="000000" w:themeColor="text1"/>
          <w:kern w:val="24"/>
          <w:sz w:val="24"/>
          <w:szCs w:val="24"/>
        </w:rPr>
        <w:t xml:space="preserve">that </w:t>
      </w:r>
      <w:r w:rsidRPr="00AD36D9">
        <w:rPr>
          <w:rFonts w:ascii="Times New Roman" w:eastAsiaTheme="minorEastAsia" w:hAnsi="Times New Roman" w:cs="Times New Roman"/>
          <w:bCs/>
          <w:color w:val="000000" w:themeColor="text1"/>
          <w:kern w:val="24"/>
          <w:sz w:val="24"/>
          <w:szCs w:val="24"/>
        </w:rPr>
        <w:t xml:space="preserve">takes place after their first year of high school physics. </w:t>
      </w:r>
      <w:r w:rsidRPr="00AD36D9">
        <w:rPr>
          <w:rFonts w:ascii="Times New Roman" w:hAnsi="Times New Roman" w:cs="Times New Roman"/>
          <w:sz w:val="24"/>
          <w:szCs w:val="24"/>
        </w:rPr>
        <w:t>Sadler</w:t>
      </w:r>
      <w:r w:rsidR="00031B8D" w:rsidRPr="00AD36D9">
        <w:rPr>
          <w:rFonts w:ascii="Times New Roman" w:hAnsi="Times New Roman" w:cs="Times New Roman"/>
          <w:sz w:val="24"/>
          <w:szCs w:val="24"/>
        </w:rPr>
        <w:t xml:space="preserve"> et al.</w:t>
      </w:r>
      <w:r w:rsidR="00CA6CF0" w:rsidRPr="00AD36D9">
        <w:rPr>
          <w:rFonts w:ascii="Times New Roman" w:hAnsi="Times New Roman" w:cs="Times New Roman"/>
          <w:sz w:val="24"/>
          <w:szCs w:val="24"/>
        </w:rPr>
        <w:t xml:space="preserve"> (2014) </w:t>
      </w:r>
      <w:r w:rsidR="005F5086" w:rsidRPr="00AD36D9">
        <w:rPr>
          <w:rFonts w:ascii="Times New Roman" w:hAnsi="Times New Roman" w:cs="Times New Roman"/>
          <w:sz w:val="24"/>
          <w:szCs w:val="24"/>
        </w:rPr>
        <w:t xml:space="preserve">conducted a retrospective study of nearly 5,000 college students at 34 colleges and universities in the </w:t>
      </w:r>
      <w:r w:rsidR="0088054D">
        <w:rPr>
          <w:rFonts w:ascii="Times New Roman" w:hAnsi="Times New Roman" w:cs="Times New Roman"/>
          <w:sz w:val="24"/>
          <w:szCs w:val="24"/>
        </w:rPr>
        <w:t>U.S</w:t>
      </w:r>
      <w:r w:rsidR="005F5086" w:rsidRPr="00AD36D9">
        <w:rPr>
          <w:rFonts w:ascii="Times New Roman" w:hAnsi="Times New Roman" w:cs="Times New Roman"/>
          <w:sz w:val="24"/>
          <w:szCs w:val="24"/>
        </w:rPr>
        <w:t xml:space="preserve">. They </w:t>
      </w:r>
      <w:r w:rsidR="00CA6CF0" w:rsidRPr="00AD36D9">
        <w:rPr>
          <w:rFonts w:ascii="Times New Roman" w:hAnsi="Times New Roman" w:cs="Times New Roman"/>
          <w:sz w:val="24"/>
          <w:szCs w:val="24"/>
        </w:rPr>
        <w:t xml:space="preserve">found that </w:t>
      </w:r>
      <w:r w:rsidR="00CA6CF0" w:rsidRPr="00AD36D9">
        <w:rPr>
          <w:rFonts w:ascii="Times New Roman" w:eastAsia="Times New Roman" w:hAnsi="Times New Roman" w:cs="Times New Roman"/>
          <w:sz w:val="24"/>
          <w:szCs w:val="24"/>
          <w:lang w:val="en-GB" w:eastAsia="en-GB"/>
        </w:rPr>
        <w:t>women</w:t>
      </w:r>
      <w:r w:rsidRPr="00AD36D9">
        <w:rPr>
          <w:rFonts w:ascii="Times New Roman" w:eastAsia="Times New Roman" w:hAnsi="Times New Roman" w:cs="Times New Roman"/>
          <w:sz w:val="24"/>
          <w:szCs w:val="24"/>
          <w:lang w:val="en-GB" w:eastAsia="en-GB"/>
        </w:rPr>
        <w:t xml:space="preserve"> who enrol</w:t>
      </w:r>
      <w:r w:rsidR="00B74A7C" w:rsidRPr="00AD36D9">
        <w:rPr>
          <w:rFonts w:ascii="Times New Roman" w:eastAsia="Times New Roman" w:hAnsi="Times New Roman" w:cs="Times New Roman"/>
          <w:sz w:val="24"/>
          <w:szCs w:val="24"/>
          <w:lang w:val="en-GB" w:eastAsia="en-GB"/>
        </w:rPr>
        <w:t>l</w:t>
      </w:r>
      <w:r w:rsidRPr="00AD36D9">
        <w:rPr>
          <w:rFonts w:ascii="Times New Roman" w:eastAsia="Times New Roman" w:hAnsi="Times New Roman" w:cs="Times New Roman"/>
          <w:sz w:val="24"/>
          <w:szCs w:val="24"/>
          <w:lang w:val="en-GB" w:eastAsia="en-GB"/>
        </w:rPr>
        <w:t xml:space="preserve"> in two years of physics are more likely to pursue careers in STEM fields.</w:t>
      </w:r>
      <w:r w:rsidR="00962F6A" w:rsidRPr="00AD36D9">
        <w:rPr>
          <w:rFonts w:ascii="Times New Roman" w:eastAsia="Times New Roman" w:hAnsi="Times New Roman" w:cs="Times New Roman"/>
          <w:sz w:val="24"/>
          <w:szCs w:val="24"/>
          <w:lang w:val="en-GB" w:eastAsia="en-GB"/>
        </w:rPr>
        <w:t xml:space="preserve"> </w:t>
      </w:r>
      <w:r w:rsidR="00B53687">
        <w:rPr>
          <w:rFonts w:ascii="Times New Roman" w:eastAsia="Times New Roman" w:hAnsi="Times New Roman" w:cs="Times New Roman"/>
          <w:sz w:val="24"/>
          <w:szCs w:val="24"/>
          <w:lang w:val="en-GB" w:eastAsia="en-GB"/>
        </w:rPr>
        <w:t>For these reasons, i</w:t>
      </w:r>
      <w:r w:rsidR="00962F6A" w:rsidRPr="00AD36D9">
        <w:rPr>
          <w:rFonts w:ascii="Times New Roman" w:eastAsia="Times New Roman" w:hAnsi="Times New Roman" w:cs="Times New Roman"/>
          <w:sz w:val="24"/>
          <w:szCs w:val="24"/>
          <w:lang w:val="en-GB" w:eastAsia="en-GB"/>
        </w:rPr>
        <w:t>t is important to identify</w:t>
      </w:r>
      <w:r w:rsidR="00E71B8B">
        <w:rPr>
          <w:rFonts w:ascii="Times New Roman" w:eastAsia="Times New Roman" w:hAnsi="Times New Roman" w:cs="Times New Roman"/>
          <w:sz w:val="24"/>
          <w:szCs w:val="24"/>
          <w:lang w:val="en-GB" w:eastAsia="en-GB"/>
        </w:rPr>
        <w:t xml:space="preserve"> </w:t>
      </w:r>
      <w:r w:rsidR="0088054D" w:rsidRPr="00AD36D9">
        <w:rPr>
          <w:rFonts w:ascii="Times New Roman" w:eastAsia="Times New Roman" w:hAnsi="Times New Roman" w:cs="Times New Roman"/>
          <w:sz w:val="24"/>
          <w:szCs w:val="24"/>
          <w:lang w:val="en-GB" w:eastAsia="en-GB"/>
        </w:rPr>
        <w:t>factors</w:t>
      </w:r>
      <w:r w:rsidR="00962F6A" w:rsidRPr="00AD36D9">
        <w:rPr>
          <w:rFonts w:ascii="Times New Roman" w:eastAsia="Times New Roman" w:hAnsi="Times New Roman" w:cs="Times New Roman"/>
          <w:sz w:val="24"/>
          <w:szCs w:val="24"/>
          <w:lang w:val="en-GB" w:eastAsia="en-GB"/>
        </w:rPr>
        <w:t xml:space="preserve"> that affect the </w:t>
      </w:r>
      <w:r w:rsidR="00B53687">
        <w:rPr>
          <w:rFonts w:ascii="Times New Roman" w:eastAsia="Times New Roman" w:hAnsi="Times New Roman" w:cs="Times New Roman"/>
          <w:sz w:val="24"/>
          <w:szCs w:val="24"/>
          <w:lang w:val="en-GB" w:eastAsia="en-GB"/>
        </w:rPr>
        <w:t>second</w:t>
      </w:r>
      <w:r w:rsidR="00BA4A2D">
        <w:rPr>
          <w:rFonts w:ascii="Times New Roman" w:eastAsia="Times New Roman" w:hAnsi="Times New Roman" w:cs="Times New Roman"/>
          <w:sz w:val="24"/>
          <w:szCs w:val="24"/>
          <w:lang w:val="en-GB" w:eastAsia="en-GB"/>
        </w:rPr>
        <w:t>-</w:t>
      </w:r>
      <w:r w:rsidR="00B53687">
        <w:rPr>
          <w:rFonts w:ascii="Times New Roman" w:eastAsia="Times New Roman" w:hAnsi="Times New Roman" w:cs="Times New Roman"/>
          <w:sz w:val="24"/>
          <w:szCs w:val="24"/>
          <w:lang w:val="en-GB" w:eastAsia="en-GB"/>
        </w:rPr>
        <w:t xml:space="preserve">year physics </w:t>
      </w:r>
      <w:r w:rsidR="00962F6A" w:rsidRPr="00AD36D9">
        <w:rPr>
          <w:rFonts w:ascii="Times New Roman" w:eastAsia="Times New Roman" w:hAnsi="Times New Roman" w:cs="Times New Roman"/>
          <w:sz w:val="24"/>
          <w:szCs w:val="24"/>
          <w:lang w:val="en-GB" w:eastAsia="en-GB"/>
        </w:rPr>
        <w:t>enrol</w:t>
      </w:r>
      <w:r w:rsidR="000A688B">
        <w:rPr>
          <w:rFonts w:ascii="Times New Roman" w:eastAsia="Times New Roman" w:hAnsi="Times New Roman" w:cs="Times New Roman"/>
          <w:sz w:val="24"/>
          <w:szCs w:val="24"/>
          <w:lang w:val="en-GB" w:eastAsia="en-GB"/>
        </w:rPr>
        <w:t>l</w:t>
      </w:r>
      <w:r w:rsidR="00962F6A" w:rsidRPr="00AD36D9">
        <w:rPr>
          <w:rFonts w:ascii="Times New Roman" w:eastAsia="Times New Roman" w:hAnsi="Times New Roman" w:cs="Times New Roman"/>
          <w:sz w:val="24"/>
          <w:szCs w:val="24"/>
          <w:lang w:val="en-GB" w:eastAsia="en-GB"/>
        </w:rPr>
        <w:t xml:space="preserve">ment decisions by </w:t>
      </w:r>
      <w:r w:rsidR="000A688B">
        <w:rPr>
          <w:rFonts w:ascii="Times New Roman" w:eastAsia="Times New Roman" w:hAnsi="Times New Roman" w:cs="Times New Roman"/>
          <w:sz w:val="24"/>
          <w:szCs w:val="24"/>
          <w:lang w:val="en-GB" w:eastAsia="en-GB"/>
        </w:rPr>
        <w:t xml:space="preserve">high school </w:t>
      </w:r>
      <w:r w:rsidR="004D19DC">
        <w:rPr>
          <w:rFonts w:ascii="Times New Roman" w:eastAsia="Times New Roman" w:hAnsi="Times New Roman" w:cs="Times New Roman"/>
          <w:sz w:val="24"/>
          <w:szCs w:val="24"/>
          <w:lang w:val="en-GB" w:eastAsia="en-GB"/>
        </w:rPr>
        <w:t>women</w:t>
      </w:r>
      <w:r w:rsidR="00962F6A" w:rsidRPr="00AD36D9">
        <w:rPr>
          <w:rFonts w:ascii="Times New Roman" w:eastAsia="Times New Roman" w:hAnsi="Times New Roman" w:cs="Times New Roman"/>
          <w:sz w:val="24"/>
          <w:szCs w:val="24"/>
          <w:lang w:val="en-GB" w:eastAsia="en-GB"/>
        </w:rPr>
        <w:t xml:space="preserve">. </w:t>
      </w:r>
      <w:r w:rsidR="000678B8">
        <w:rPr>
          <w:rFonts w:ascii="Times New Roman" w:eastAsia="Times New Roman" w:hAnsi="Times New Roman" w:cs="Times New Roman"/>
          <w:sz w:val="24"/>
          <w:szCs w:val="24"/>
          <w:lang w:val="en-GB" w:eastAsia="en-GB"/>
        </w:rPr>
        <w:t>Veloo et al. (2015) studied</w:t>
      </w:r>
      <w:r w:rsidR="003B7C43" w:rsidRPr="00AD36D9">
        <w:rPr>
          <w:rFonts w:ascii="Times New Roman" w:eastAsia="Times New Roman" w:hAnsi="Times New Roman" w:cs="Times New Roman"/>
          <w:sz w:val="24"/>
          <w:szCs w:val="24"/>
          <w:lang w:val="en-GB" w:eastAsia="en-GB"/>
        </w:rPr>
        <w:t xml:space="preserve"> secondary in Malaysia </w:t>
      </w:r>
      <w:r w:rsidR="000678B8">
        <w:rPr>
          <w:rFonts w:ascii="Times New Roman" w:eastAsia="Times New Roman" w:hAnsi="Times New Roman" w:cs="Times New Roman"/>
          <w:sz w:val="24"/>
          <w:szCs w:val="24"/>
          <w:lang w:val="en-GB" w:eastAsia="en-GB"/>
        </w:rPr>
        <w:t xml:space="preserve">and </w:t>
      </w:r>
      <w:r w:rsidR="003B7C43" w:rsidRPr="00AD36D9">
        <w:rPr>
          <w:rFonts w:ascii="Times New Roman" w:eastAsia="Times New Roman" w:hAnsi="Times New Roman" w:cs="Times New Roman"/>
          <w:sz w:val="24"/>
          <w:szCs w:val="24"/>
          <w:lang w:val="en-GB" w:eastAsia="en-GB"/>
        </w:rPr>
        <w:t xml:space="preserve">found </w:t>
      </w:r>
      <w:r w:rsidR="003B7C43" w:rsidRPr="00AD36D9">
        <w:rPr>
          <w:rFonts w:ascii="Times New Roman" w:hAnsi="Times New Roman" w:cs="Times New Roman"/>
          <w:sz w:val="24"/>
          <w:szCs w:val="24"/>
        </w:rPr>
        <w:t>w</w:t>
      </w:r>
      <w:r w:rsidRPr="00AD36D9">
        <w:rPr>
          <w:rFonts w:ascii="Times New Roman" w:hAnsi="Times New Roman" w:cs="Times New Roman"/>
          <w:sz w:val="24"/>
          <w:szCs w:val="24"/>
        </w:rPr>
        <w:t xml:space="preserve">omen have lower levels of interest in physics as well as lower attitudes </w:t>
      </w:r>
      <w:r w:rsidR="000678B8" w:rsidRPr="00AD36D9">
        <w:rPr>
          <w:rFonts w:ascii="Times New Roman" w:hAnsi="Times New Roman" w:cs="Times New Roman"/>
          <w:sz w:val="24"/>
          <w:szCs w:val="24"/>
        </w:rPr>
        <w:t>regarding</w:t>
      </w:r>
      <w:r w:rsidRPr="00AD36D9">
        <w:rPr>
          <w:rFonts w:ascii="Times New Roman" w:hAnsi="Times New Roman" w:cs="Times New Roman"/>
          <w:sz w:val="24"/>
          <w:szCs w:val="24"/>
        </w:rPr>
        <w:t xml:space="preserve"> the importance of physics. </w:t>
      </w:r>
      <w:r w:rsidR="0088054D">
        <w:rPr>
          <w:rFonts w:ascii="Times New Roman" w:hAnsi="Times New Roman" w:cs="Times New Roman"/>
          <w:sz w:val="24"/>
          <w:szCs w:val="24"/>
        </w:rPr>
        <w:t>Women’s</w:t>
      </w:r>
      <w:r w:rsidR="0088054D"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perception of the significance of the topic of physics, as well as their beliefs in their own abilities, </w:t>
      </w:r>
      <w:r w:rsidR="00962F6A" w:rsidRPr="00AD36D9">
        <w:rPr>
          <w:rFonts w:ascii="Times New Roman" w:hAnsi="Times New Roman" w:cs="Times New Roman"/>
          <w:sz w:val="24"/>
          <w:szCs w:val="24"/>
        </w:rPr>
        <w:t xml:space="preserve">may play a role in </w:t>
      </w:r>
      <w:r w:rsidR="008159B8">
        <w:rPr>
          <w:rFonts w:ascii="Times New Roman" w:hAnsi="Times New Roman" w:cs="Times New Roman"/>
          <w:sz w:val="24"/>
          <w:szCs w:val="24"/>
        </w:rPr>
        <w:t>second-year physics</w:t>
      </w:r>
      <w:r w:rsidRPr="00AD36D9">
        <w:rPr>
          <w:rFonts w:ascii="Times New Roman" w:hAnsi="Times New Roman" w:cs="Times New Roman"/>
          <w:sz w:val="24"/>
          <w:szCs w:val="24"/>
        </w:rPr>
        <w:t xml:space="preserve"> enrollment</w:t>
      </w:r>
      <w:r w:rsidR="00962F6A" w:rsidRPr="00AD36D9">
        <w:rPr>
          <w:rFonts w:ascii="Times New Roman" w:hAnsi="Times New Roman" w:cs="Times New Roman"/>
          <w:sz w:val="24"/>
          <w:szCs w:val="24"/>
        </w:rPr>
        <w:t xml:space="preserve"> decisions</w:t>
      </w:r>
      <w:r w:rsidRPr="00AD36D9">
        <w:rPr>
          <w:rFonts w:ascii="Times New Roman" w:hAnsi="Times New Roman" w:cs="Times New Roman"/>
          <w:sz w:val="24"/>
          <w:szCs w:val="24"/>
        </w:rPr>
        <w:t xml:space="preserve">. </w:t>
      </w:r>
    </w:p>
    <w:p w14:paraId="4A34B234" w14:textId="0931A8BB" w:rsidR="00AC1CEC" w:rsidRPr="00AD36D9" w:rsidRDefault="00204B93" w:rsidP="00BA4A2D">
      <w:pPr>
        <w:widowControl w:val="0"/>
        <w:spacing w:after="0" w:line="480" w:lineRule="auto"/>
        <w:ind w:firstLine="720"/>
        <w:rPr>
          <w:rFonts w:ascii="Times New Roman" w:hAnsi="Times New Roman" w:cs="Times New Roman"/>
          <w:sz w:val="24"/>
          <w:szCs w:val="24"/>
        </w:rPr>
      </w:pPr>
      <w:r w:rsidRPr="00AD36D9">
        <w:rPr>
          <w:rFonts w:ascii="Times New Roman" w:hAnsi="Times New Roman" w:cs="Times New Roman"/>
          <w:sz w:val="24"/>
          <w:szCs w:val="24"/>
        </w:rPr>
        <w:t xml:space="preserve">A growing </w:t>
      </w:r>
      <w:r w:rsidR="00E71B8B">
        <w:rPr>
          <w:rFonts w:ascii="Times New Roman" w:hAnsi="Times New Roman" w:cs="Times New Roman"/>
          <w:sz w:val="24"/>
          <w:szCs w:val="24"/>
        </w:rPr>
        <w:t>number</w:t>
      </w:r>
      <w:r w:rsidR="00E71B8B" w:rsidRPr="00AD36D9">
        <w:rPr>
          <w:rFonts w:ascii="Times New Roman" w:hAnsi="Times New Roman" w:cs="Times New Roman"/>
          <w:sz w:val="24"/>
          <w:szCs w:val="24"/>
        </w:rPr>
        <w:t xml:space="preserve"> </w:t>
      </w:r>
      <w:r w:rsidRPr="00AD36D9">
        <w:rPr>
          <w:rFonts w:ascii="Times New Roman" w:hAnsi="Times New Roman" w:cs="Times New Roman"/>
          <w:sz w:val="24"/>
          <w:szCs w:val="24"/>
        </w:rPr>
        <w:t>of research</w:t>
      </w:r>
      <w:r w:rsidR="00E71B8B">
        <w:rPr>
          <w:rFonts w:ascii="Times New Roman" w:hAnsi="Times New Roman" w:cs="Times New Roman"/>
          <w:sz w:val="24"/>
          <w:szCs w:val="24"/>
        </w:rPr>
        <w:t>ers</w:t>
      </w:r>
      <w:r w:rsidRPr="00AD36D9">
        <w:rPr>
          <w:rFonts w:ascii="Times New Roman" w:hAnsi="Times New Roman" w:cs="Times New Roman"/>
          <w:sz w:val="24"/>
          <w:szCs w:val="24"/>
        </w:rPr>
        <w:t xml:space="preserve"> ha</w:t>
      </w:r>
      <w:r w:rsidR="00E71B8B">
        <w:rPr>
          <w:rFonts w:ascii="Times New Roman" w:hAnsi="Times New Roman" w:cs="Times New Roman"/>
          <w:sz w:val="24"/>
          <w:szCs w:val="24"/>
        </w:rPr>
        <w:t>ve</w:t>
      </w:r>
      <w:r w:rsidRPr="00AD36D9">
        <w:rPr>
          <w:rFonts w:ascii="Times New Roman" w:hAnsi="Times New Roman" w:cs="Times New Roman"/>
          <w:sz w:val="24"/>
          <w:szCs w:val="24"/>
        </w:rPr>
        <w:t xml:space="preserve"> highlighted the significant </w:t>
      </w:r>
      <w:r w:rsidR="001A0D46" w:rsidRPr="00AD36D9">
        <w:rPr>
          <w:rFonts w:ascii="Times New Roman" w:hAnsi="Times New Roman" w:cs="Times New Roman"/>
          <w:sz w:val="24"/>
          <w:szCs w:val="24"/>
        </w:rPr>
        <w:t>differences in the beliefs of men and women in math and science classes, including physics</w:t>
      </w:r>
      <w:r w:rsidR="0061370B"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These differences are not only found in the </w:t>
      </w:r>
      <w:r w:rsidR="00E71B8B">
        <w:rPr>
          <w:rFonts w:ascii="Times New Roman" w:hAnsi="Times New Roman" w:cs="Times New Roman"/>
          <w:sz w:val="24"/>
          <w:szCs w:val="24"/>
        </w:rPr>
        <w:t>U.S.,</w:t>
      </w:r>
      <w:r w:rsidR="0061370B" w:rsidRPr="00AD36D9">
        <w:rPr>
          <w:rFonts w:ascii="Times New Roman" w:hAnsi="Times New Roman" w:cs="Times New Roman"/>
          <w:sz w:val="24"/>
          <w:szCs w:val="24"/>
        </w:rPr>
        <w:t xml:space="preserve"> but </w:t>
      </w:r>
      <w:r w:rsidR="00A92525">
        <w:rPr>
          <w:rFonts w:ascii="Times New Roman" w:hAnsi="Times New Roman" w:cs="Times New Roman"/>
          <w:sz w:val="24"/>
          <w:szCs w:val="24"/>
        </w:rPr>
        <w:t xml:space="preserve">also </w:t>
      </w:r>
      <w:r w:rsidR="001A0D46" w:rsidRPr="00AD36D9">
        <w:rPr>
          <w:rFonts w:ascii="Times New Roman" w:hAnsi="Times New Roman" w:cs="Times New Roman"/>
          <w:sz w:val="24"/>
          <w:szCs w:val="24"/>
        </w:rPr>
        <w:t>internationally</w:t>
      </w:r>
      <w:r w:rsidR="0061370B" w:rsidRPr="00AD36D9">
        <w:rPr>
          <w:rFonts w:ascii="Times New Roman" w:hAnsi="Times New Roman" w:cs="Times New Roman"/>
          <w:sz w:val="24"/>
          <w:szCs w:val="24"/>
        </w:rPr>
        <w:t xml:space="preserve">. </w:t>
      </w:r>
      <w:r w:rsidR="00D1392F">
        <w:rPr>
          <w:rFonts w:ascii="Times New Roman" w:hAnsi="Times New Roman" w:cs="Times New Roman"/>
          <w:sz w:val="24"/>
          <w:szCs w:val="24"/>
        </w:rPr>
        <w:t xml:space="preserve">Scholars conducting research </w:t>
      </w:r>
      <w:r w:rsidR="00CA3730" w:rsidRPr="00AD36D9">
        <w:rPr>
          <w:rFonts w:ascii="Times New Roman" w:hAnsi="Times New Roman" w:cs="Times New Roman"/>
          <w:sz w:val="24"/>
          <w:szCs w:val="24"/>
        </w:rPr>
        <w:t xml:space="preserve">in the </w:t>
      </w:r>
      <w:r w:rsidR="00E71B8B">
        <w:rPr>
          <w:rFonts w:ascii="Times New Roman" w:hAnsi="Times New Roman" w:cs="Times New Roman"/>
          <w:sz w:val="24"/>
          <w:szCs w:val="24"/>
        </w:rPr>
        <w:t>U.S.</w:t>
      </w:r>
      <w:r w:rsidR="00CA3730" w:rsidRPr="00AD36D9">
        <w:rPr>
          <w:rFonts w:ascii="Times New Roman" w:hAnsi="Times New Roman" w:cs="Times New Roman"/>
          <w:sz w:val="24"/>
          <w:szCs w:val="24"/>
        </w:rPr>
        <w:t>, Croatia, United Kingdom, and Turkey all found w</w:t>
      </w:r>
      <w:r w:rsidR="004B5398" w:rsidRPr="00AD36D9">
        <w:rPr>
          <w:rFonts w:ascii="Times New Roman" w:hAnsi="Times New Roman" w:cs="Times New Roman"/>
          <w:sz w:val="24"/>
          <w:szCs w:val="24"/>
        </w:rPr>
        <w:t>omen have lower levels of self-efficacy in math and science (Baran, 2016; Jugovic, 2017; Mujtaba &amp; Reiss, 2016; Nix</w:t>
      </w:r>
      <w:r w:rsidR="003B7C43" w:rsidRPr="00AD36D9">
        <w:rPr>
          <w:rFonts w:ascii="Times New Roman" w:hAnsi="Times New Roman" w:cs="Times New Roman"/>
          <w:sz w:val="24"/>
          <w:szCs w:val="24"/>
        </w:rPr>
        <w:t xml:space="preserve"> et al.</w:t>
      </w:r>
      <w:r w:rsidR="004B5398" w:rsidRPr="00AD36D9">
        <w:rPr>
          <w:rFonts w:ascii="Times New Roman" w:hAnsi="Times New Roman" w:cs="Times New Roman"/>
          <w:sz w:val="24"/>
          <w:szCs w:val="24"/>
        </w:rPr>
        <w:t>, 2015).</w:t>
      </w:r>
      <w:r w:rsidR="0061370B" w:rsidRPr="00AD36D9">
        <w:rPr>
          <w:rFonts w:ascii="Times New Roman" w:hAnsi="Times New Roman" w:cs="Times New Roman"/>
          <w:sz w:val="24"/>
          <w:szCs w:val="24"/>
        </w:rPr>
        <w:t xml:space="preserve"> A narrowed </w:t>
      </w:r>
      <w:r w:rsidR="00D1392F">
        <w:rPr>
          <w:rFonts w:ascii="Times New Roman" w:hAnsi="Times New Roman" w:cs="Times New Roman"/>
          <w:sz w:val="24"/>
          <w:szCs w:val="24"/>
        </w:rPr>
        <w:t>body of</w:t>
      </w:r>
      <w:r w:rsidR="0061370B" w:rsidRPr="00AD36D9">
        <w:rPr>
          <w:rFonts w:ascii="Times New Roman" w:hAnsi="Times New Roman" w:cs="Times New Roman"/>
          <w:sz w:val="24"/>
          <w:szCs w:val="24"/>
        </w:rPr>
        <w:t xml:space="preserve"> research reveals specific differences in self-efficacy in physics. </w:t>
      </w:r>
      <w:r w:rsidR="00AD53B9">
        <w:rPr>
          <w:rFonts w:ascii="Times New Roman" w:hAnsi="Times New Roman" w:cs="Times New Roman"/>
          <w:sz w:val="24"/>
          <w:szCs w:val="24"/>
        </w:rPr>
        <w:t xml:space="preserve">For instance, </w:t>
      </w:r>
      <w:r w:rsidR="00CA3730" w:rsidRPr="00AD36D9">
        <w:rPr>
          <w:rFonts w:ascii="Times New Roman" w:hAnsi="Times New Roman" w:cs="Times New Roman"/>
          <w:sz w:val="24"/>
          <w:szCs w:val="24"/>
        </w:rPr>
        <w:t>Suana (2018) found w</w:t>
      </w:r>
      <w:r w:rsidR="004B5398" w:rsidRPr="00AD36D9">
        <w:rPr>
          <w:rFonts w:ascii="Times New Roman" w:hAnsi="Times New Roman" w:cs="Times New Roman"/>
          <w:sz w:val="24"/>
          <w:szCs w:val="24"/>
        </w:rPr>
        <w:t xml:space="preserve">omen </w:t>
      </w:r>
      <w:r w:rsidR="00CA3730" w:rsidRPr="00AD36D9">
        <w:rPr>
          <w:rFonts w:ascii="Times New Roman" w:hAnsi="Times New Roman" w:cs="Times New Roman"/>
          <w:sz w:val="24"/>
          <w:szCs w:val="24"/>
        </w:rPr>
        <w:t xml:space="preserve">had </w:t>
      </w:r>
      <w:r w:rsidR="004B5398" w:rsidRPr="00AD36D9">
        <w:rPr>
          <w:rFonts w:ascii="Times New Roman" w:hAnsi="Times New Roman" w:cs="Times New Roman"/>
          <w:sz w:val="24"/>
          <w:szCs w:val="24"/>
        </w:rPr>
        <w:t>lower levels of internet self-efficacy</w:t>
      </w:r>
      <w:r w:rsidR="00A92525">
        <w:rPr>
          <w:rFonts w:ascii="Times New Roman" w:hAnsi="Times New Roman" w:cs="Times New Roman"/>
          <w:sz w:val="24"/>
          <w:szCs w:val="24"/>
        </w:rPr>
        <w:t>,</w:t>
      </w:r>
      <w:r w:rsidR="00CA3730" w:rsidRPr="00AD36D9">
        <w:rPr>
          <w:rFonts w:ascii="Times New Roman" w:hAnsi="Times New Roman" w:cs="Times New Roman"/>
          <w:sz w:val="24"/>
          <w:szCs w:val="24"/>
        </w:rPr>
        <w:t xml:space="preserve"> defined as</w:t>
      </w:r>
      <w:r w:rsidR="004B5398" w:rsidRPr="00AD36D9">
        <w:rPr>
          <w:rFonts w:ascii="Times New Roman" w:hAnsi="Times New Roman" w:cs="Times New Roman"/>
          <w:sz w:val="24"/>
          <w:szCs w:val="24"/>
        </w:rPr>
        <w:t xml:space="preserve"> their belief that they can learn physics using internet</w:t>
      </w:r>
      <w:r w:rsidR="0014055B">
        <w:rPr>
          <w:rFonts w:ascii="Times New Roman" w:hAnsi="Times New Roman" w:cs="Times New Roman"/>
          <w:sz w:val="24"/>
          <w:szCs w:val="24"/>
        </w:rPr>
        <w:t>-</w:t>
      </w:r>
      <w:r w:rsidR="004B5398" w:rsidRPr="00AD36D9">
        <w:rPr>
          <w:rFonts w:ascii="Times New Roman" w:hAnsi="Times New Roman" w:cs="Times New Roman"/>
          <w:sz w:val="24"/>
          <w:szCs w:val="24"/>
        </w:rPr>
        <w:t xml:space="preserve">based materials. </w:t>
      </w:r>
    </w:p>
    <w:p w14:paraId="49035E27" w14:textId="1C97A555" w:rsidR="00577FF3" w:rsidRPr="00AD36D9" w:rsidRDefault="00AC1CEC" w:rsidP="00BA4A2D">
      <w:pPr>
        <w:widowControl w:val="0"/>
        <w:spacing w:after="0" w:line="480" w:lineRule="auto"/>
        <w:ind w:firstLine="720"/>
        <w:rPr>
          <w:rFonts w:ascii="Times New Roman" w:hAnsi="Times New Roman" w:cs="Times New Roman"/>
          <w:sz w:val="24"/>
          <w:szCs w:val="24"/>
        </w:rPr>
      </w:pPr>
      <w:r w:rsidRPr="00AD36D9">
        <w:rPr>
          <w:rFonts w:ascii="Times New Roman" w:hAnsi="Times New Roman" w:cs="Times New Roman"/>
          <w:sz w:val="24"/>
          <w:szCs w:val="24"/>
        </w:rPr>
        <w:lastRenderedPageBreak/>
        <w:t xml:space="preserve">A growing </w:t>
      </w:r>
      <w:r w:rsidR="00AD53B9">
        <w:rPr>
          <w:rFonts w:ascii="Times New Roman" w:hAnsi="Times New Roman" w:cs="Times New Roman"/>
          <w:sz w:val="24"/>
          <w:szCs w:val="24"/>
        </w:rPr>
        <w:t>number</w:t>
      </w:r>
      <w:r w:rsidR="00AD53B9" w:rsidRPr="00AD36D9">
        <w:rPr>
          <w:rFonts w:ascii="Times New Roman" w:hAnsi="Times New Roman" w:cs="Times New Roman"/>
          <w:sz w:val="24"/>
          <w:szCs w:val="24"/>
        </w:rPr>
        <w:t xml:space="preserve"> </w:t>
      </w:r>
      <w:r w:rsidRPr="00AD36D9">
        <w:rPr>
          <w:rFonts w:ascii="Times New Roman" w:hAnsi="Times New Roman" w:cs="Times New Roman"/>
          <w:sz w:val="24"/>
          <w:szCs w:val="24"/>
        </w:rPr>
        <w:t>of research</w:t>
      </w:r>
      <w:r w:rsidR="00AD53B9">
        <w:rPr>
          <w:rFonts w:ascii="Times New Roman" w:hAnsi="Times New Roman" w:cs="Times New Roman"/>
          <w:sz w:val="24"/>
          <w:szCs w:val="24"/>
        </w:rPr>
        <w:t>ers</w:t>
      </w:r>
      <w:r w:rsidRPr="00AD36D9">
        <w:rPr>
          <w:rFonts w:ascii="Times New Roman" w:hAnsi="Times New Roman" w:cs="Times New Roman"/>
          <w:sz w:val="24"/>
          <w:szCs w:val="24"/>
        </w:rPr>
        <w:t xml:space="preserve"> </w:t>
      </w:r>
      <w:r w:rsidR="009E65D3">
        <w:rPr>
          <w:rFonts w:ascii="Times New Roman" w:hAnsi="Times New Roman" w:cs="Times New Roman"/>
          <w:sz w:val="24"/>
          <w:szCs w:val="24"/>
        </w:rPr>
        <w:t>ha</w:t>
      </w:r>
      <w:r w:rsidR="00AD53B9">
        <w:rPr>
          <w:rFonts w:ascii="Times New Roman" w:hAnsi="Times New Roman" w:cs="Times New Roman"/>
          <w:sz w:val="24"/>
          <w:szCs w:val="24"/>
        </w:rPr>
        <w:t>ve</w:t>
      </w:r>
      <w:r w:rsidR="009E65D3">
        <w:rPr>
          <w:rFonts w:ascii="Times New Roman" w:hAnsi="Times New Roman" w:cs="Times New Roman"/>
          <w:sz w:val="24"/>
          <w:szCs w:val="24"/>
        </w:rPr>
        <w:t xml:space="preserve"> demonstrated</w:t>
      </w:r>
      <w:r w:rsidRPr="00AD36D9">
        <w:rPr>
          <w:rFonts w:ascii="Times New Roman" w:hAnsi="Times New Roman" w:cs="Times New Roman"/>
          <w:sz w:val="24"/>
          <w:szCs w:val="24"/>
        </w:rPr>
        <w:t xml:space="preserve"> differences in </w:t>
      </w:r>
      <w:r w:rsidR="00A94399">
        <w:rPr>
          <w:rFonts w:ascii="Times New Roman" w:hAnsi="Times New Roman" w:cs="Times New Roman"/>
          <w:sz w:val="24"/>
          <w:szCs w:val="24"/>
        </w:rPr>
        <w:t xml:space="preserve">levels of </w:t>
      </w:r>
      <w:r w:rsidRPr="00AD36D9">
        <w:rPr>
          <w:rFonts w:ascii="Times New Roman" w:hAnsi="Times New Roman" w:cs="Times New Roman"/>
          <w:sz w:val="24"/>
          <w:szCs w:val="24"/>
        </w:rPr>
        <w:t xml:space="preserve">self-efficacy </w:t>
      </w:r>
      <w:r w:rsidR="00A94399">
        <w:rPr>
          <w:rFonts w:ascii="Times New Roman" w:hAnsi="Times New Roman" w:cs="Times New Roman"/>
          <w:sz w:val="24"/>
          <w:szCs w:val="24"/>
        </w:rPr>
        <w:t>between men and women. Not only are these differences found in math and science</w:t>
      </w:r>
      <w:r w:rsidR="00AB75F2">
        <w:rPr>
          <w:rFonts w:ascii="Times New Roman" w:hAnsi="Times New Roman" w:cs="Times New Roman"/>
          <w:sz w:val="24"/>
          <w:szCs w:val="24"/>
        </w:rPr>
        <w:t>,</w:t>
      </w:r>
      <w:r w:rsidR="00A94399">
        <w:rPr>
          <w:rFonts w:ascii="Times New Roman" w:hAnsi="Times New Roman" w:cs="Times New Roman"/>
          <w:sz w:val="24"/>
          <w:szCs w:val="24"/>
        </w:rPr>
        <w:t xml:space="preserve"> but also in physics. </w:t>
      </w:r>
      <w:r w:rsidR="00AB75F2">
        <w:rPr>
          <w:rFonts w:ascii="Times New Roman" w:hAnsi="Times New Roman" w:cs="Times New Roman"/>
          <w:sz w:val="24"/>
          <w:szCs w:val="24"/>
        </w:rPr>
        <w:t>The f</w:t>
      </w:r>
      <w:r w:rsidR="004B5398" w:rsidRPr="00AD36D9">
        <w:rPr>
          <w:rFonts w:ascii="Times New Roman" w:hAnsi="Times New Roman" w:cs="Times New Roman"/>
          <w:sz w:val="24"/>
          <w:szCs w:val="24"/>
        </w:rPr>
        <w:t xml:space="preserve">actors that contribute to a lower level of math and science self-efficacy </w:t>
      </w:r>
      <w:r w:rsidR="00A94399">
        <w:rPr>
          <w:rFonts w:ascii="Times New Roman" w:hAnsi="Times New Roman" w:cs="Times New Roman"/>
          <w:sz w:val="24"/>
          <w:szCs w:val="24"/>
        </w:rPr>
        <w:t xml:space="preserve">among women </w:t>
      </w:r>
      <w:r w:rsidR="004B5398" w:rsidRPr="00AD36D9">
        <w:rPr>
          <w:rFonts w:ascii="Times New Roman" w:hAnsi="Times New Roman" w:cs="Times New Roman"/>
          <w:sz w:val="24"/>
          <w:szCs w:val="24"/>
        </w:rPr>
        <w:t>are not fully understoo</w:t>
      </w:r>
      <w:r w:rsidR="00A94399">
        <w:rPr>
          <w:rFonts w:ascii="Times New Roman" w:hAnsi="Times New Roman" w:cs="Times New Roman"/>
          <w:sz w:val="24"/>
          <w:szCs w:val="24"/>
        </w:rPr>
        <w:t xml:space="preserve">d. Little research exists </w:t>
      </w:r>
      <w:r w:rsidR="00A27E90">
        <w:rPr>
          <w:rFonts w:ascii="Times New Roman" w:hAnsi="Times New Roman" w:cs="Times New Roman"/>
          <w:sz w:val="24"/>
          <w:szCs w:val="24"/>
        </w:rPr>
        <w:t xml:space="preserve">regarding </w:t>
      </w:r>
      <w:r w:rsidR="00A94399">
        <w:rPr>
          <w:rFonts w:ascii="Times New Roman" w:hAnsi="Times New Roman" w:cs="Times New Roman"/>
          <w:sz w:val="24"/>
          <w:szCs w:val="24"/>
        </w:rPr>
        <w:t xml:space="preserve">the </w:t>
      </w:r>
      <w:r w:rsidRPr="00AD36D9">
        <w:rPr>
          <w:rFonts w:ascii="Times New Roman" w:hAnsi="Times New Roman" w:cs="Times New Roman"/>
          <w:sz w:val="24"/>
          <w:szCs w:val="24"/>
        </w:rPr>
        <w:t xml:space="preserve">role </w:t>
      </w:r>
      <w:r w:rsidR="00A27E90">
        <w:rPr>
          <w:rFonts w:ascii="Times New Roman" w:hAnsi="Times New Roman" w:cs="Times New Roman"/>
          <w:sz w:val="24"/>
          <w:szCs w:val="24"/>
        </w:rPr>
        <w:t>that</w:t>
      </w:r>
      <w:r w:rsidRPr="00AD36D9">
        <w:rPr>
          <w:rFonts w:ascii="Times New Roman" w:hAnsi="Times New Roman" w:cs="Times New Roman"/>
          <w:sz w:val="24"/>
          <w:szCs w:val="24"/>
        </w:rPr>
        <w:t xml:space="preserve"> self-efficacy plays in the decision to </w:t>
      </w:r>
      <w:r w:rsidR="00A27E90">
        <w:rPr>
          <w:rFonts w:ascii="Times New Roman" w:hAnsi="Times New Roman" w:cs="Times New Roman"/>
          <w:sz w:val="24"/>
          <w:szCs w:val="24"/>
        </w:rPr>
        <w:t>enroll in</w:t>
      </w:r>
      <w:r w:rsidR="00A27E90"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a second year of high school physics. </w:t>
      </w:r>
      <w:r w:rsidR="00AB0902" w:rsidRPr="00AD36D9">
        <w:rPr>
          <w:rFonts w:ascii="Times New Roman" w:hAnsi="Times New Roman" w:cs="Times New Roman"/>
          <w:sz w:val="24"/>
          <w:szCs w:val="24"/>
        </w:rPr>
        <w:t xml:space="preserve">The present study </w:t>
      </w:r>
      <w:r w:rsidR="009E65D3">
        <w:rPr>
          <w:rFonts w:ascii="Times New Roman" w:hAnsi="Times New Roman" w:cs="Times New Roman"/>
          <w:sz w:val="24"/>
          <w:szCs w:val="24"/>
        </w:rPr>
        <w:t>built</w:t>
      </w:r>
      <w:r w:rsidR="001A584A" w:rsidRPr="00AD36D9">
        <w:rPr>
          <w:rFonts w:ascii="Times New Roman" w:hAnsi="Times New Roman" w:cs="Times New Roman"/>
          <w:sz w:val="24"/>
          <w:szCs w:val="24"/>
        </w:rPr>
        <w:t xml:space="preserve"> on the work of Sadler et al. (2014) and Suana (2018) by examining</w:t>
      </w:r>
      <w:r w:rsidR="008F530D" w:rsidRPr="00AD36D9">
        <w:rPr>
          <w:rFonts w:ascii="Times New Roman" w:hAnsi="Times New Roman" w:cs="Times New Roman"/>
          <w:sz w:val="24"/>
          <w:szCs w:val="24"/>
        </w:rPr>
        <w:t xml:space="preserve"> the</w:t>
      </w:r>
      <w:r w:rsidR="00021550" w:rsidRPr="00AD36D9">
        <w:rPr>
          <w:rFonts w:ascii="Times New Roman" w:hAnsi="Times New Roman" w:cs="Times New Roman"/>
          <w:sz w:val="24"/>
          <w:szCs w:val="24"/>
        </w:rPr>
        <w:t xml:space="preserve"> </w:t>
      </w:r>
      <w:r w:rsidR="00791462" w:rsidRPr="00AD36D9">
        <w:rPr>
          <w:rFonts w:ascii="Times New Roman" w:hAnsi="Times New Roman" w:cs="Times New Roman"/>
          <w:sz w:val="24"/>
          <w:szCs w:val="24"/>
        </w:rPr>
        <w:t xml:space="preserve">role </w:t>
      </w:r>
      <w:r w:rsidR="00021550" w:rsidRPr="00AD36D9">
        <w:rPr>
          <w:rFonts w:ascii="Times New Roman" w:hAnsi="Times New Roman" w:cs="Times New Roman"/>
          <w:sz w:val="24"/>
          <w:szCs w:val="24"/>
        </w:rPr>
        <w:t xml:space="preserve">self-efficacy </w:t>
      </w:r>
      <w:r w:rsidR="009E65D3">
        <w:rPr>
          <w:rFonts w:ascii="Times New Roman" w:hAnsi="Times New Roman" w:cs="Times New Roman"/>
          <w:sz w:val="24"/>
          <w:szCs w:val="24"/>
        </w:rPr>
        <w:t>play</w:t>
      </w:r>
      <w:r w:rsidR="00A27E90">
        <w:rPr>
          <w:rFonts w:ascii="Times New Roman" w:hAnsi="Times New Roman" w:cs="Times New Roman"/>
          <w:sz w:val="24"/>
          <w:szCs w:val="24"/>
        </w:rPr>
        <w:t>s</w:t>
      </w:r>
      <w:r w:rsidR="009E65D3" w:rsidRPr="00AD36D9">
        <w:rPr>
          <w:rFonts w:ascii="Times New Roman" w:hAnsi="Times New Roman" w:cs="Times New Roman"/>
          <w:sz w:val="24"/>
          <w:szCs w:val="24"/>
        </w:rPr>
        <w:t xml:space="preserve"> </w:t>
      </w:r>
      <w:r w:rsidR="00791462" w:rsidRPr="00AD36D9">
        <w:rPr>
          <w:rFonts w:ascii="Times New Roman" w:hAnsi="Times New Roman" w:cs="Times New Roman"/>
          <w:sz w:val="24"/>
          <w:szCs w:val="24"/>
        </w:rPr>
        <w:t>in predicting</w:t>
      </w:r>
      <w:r w:rsidR="00021550" w:rsidRPr="00AD36D9">
        <w:rPr>
          <w:rFonts w:ascii="Times New Roman" w:hAnsi="Times New Roman" w:cs="Times New Roman"/>
          <w:sz w:val="24"/>
          <w:szCs w:val="24"/>
        </w:rPr>
        <w:t xml:space="preserve"> enrollment decisions made by </w:t>
      </w:r>
      <w:r w:rsidR="001A584A" w:rsidRPr="00AD36D9">
        <w:rPr>
          <w:rFonts w:ascii="Times New Roman" w:hAnsi="Times New Roman" w:cs="Times New Roman"/>
          <w:sz w:val="24"/>
          <w:szCs w:val="24"/>
        </w:rPr>
        <w:t xml:space="preserve">high school </w:t>
      </w:r>
      <w:r w:rsidR="00021550" w:rsidRPr="00AD36D9">
        <w:rPr>
          <w:rFonts w:ascii="Times New Roman" w:hAnsi="Times New Roman" w:cs="Times New Roman"/>
          <w:sz w:val="24"/>
          <w:szCs w:val="24"/>
        </w:rPr>
        <w:t xml:space="preserve">women </w:t>
      </w:r>
      <w:r w:rsidR="001A584A" w:rsidRPr="00AD36D9">
        <w:rPr>
          <w:rFonts w:ascii="Times New Roman" w:hAnsi="Times New Roman" w:cs="Times New Roman"/>
          <w:sz w:val="24"/>
          <w:szCs w:val="24"/>
        </w:rPr>
        <w:t>in advanced physics courses</w:t>
      </w:r>
      <w:r w:rsidR="00021550" w:rsidRPr="00AD36D9">
        <w:rPr>
          <w:rFonts w:ascii="Times New Roman" w:hAnsi="Times New Roman" w:cs="Times New Roman"/>
          <w:sz w:val="24"/>
          <w:szCs w:val="24"/>
        </w:rPr>
        <w:t xml:space="preserve">. The results </w:t>
      </w:r>
      <w:r w:rsidR="00AB0902" w:rsidRPr="00AD36D9">
        <w:rPr>
          <w:rFonts w:ascii="Times New Roman" w:hAnsi="Times New Roman" w:cs="Times New Roman"/>
          <w:sz w:val="24"/>
          <w:szCs w:val="24"/>
        </w:rPr>
        <w:t xml:space="preserve">of the study </w:t>
      </w:r>
      <w:r w:rsidR="00AD53B9">
        <w:rPr>
          <w:rFonts w:ascii="Times New Roman" w:hAnsi="Times New Roman" w:cs="Times New Roman"/>
          <w:sz w:val="24"/>
          <w:szCs w:val="24"/>
        </w:rPr>
        <w:t>can</w:t>
      </w:r>
      <w:r w:rsidR="00AD53B9" w:rsidRPr="00AD36D9">
        <w:rPr>
          <w:rFonts w:ascii="Times New Roman" w:hAnsi="Times New Roman" w:cs="Times New Roman"/>
          <w:sz w:val="24"/>
          <w:szCs w:val="24"/>
        </w:rPr>
        <w:t xml:space="preserve"> </w:t>
      </w:r>
      <w:r w:rsidR="001A584A" w:rsidRPr="00AD36D9">
        <w:rPr>
          <w:rFonts w:ascii="Times New Roman" w:hAnsi="Times New Roman" w:cs="Times New Roman"/>
          <w:sz w:val="24"/>
          <w:szCs w:val="24"/>
        </w:rPr>
        <w:t>explain factors that contribute to the decrease</w:t>
      </w:r>
      <w:r w:rsidR="00AD53B9">
        <w:rPr>
          <w:rFonts w:ascii="Times New Roman" w:hAnsi="Times New Roman" w:cs="Times New Roman"/>
          <w:sz w:val="24"/>
          <w:szCs w:val="24"/>
        </w:rPr>
        <w:t>d</w:t>
      </w:r>
      <w:r w:rsidR="001A584A" w:rsidRPr="00AD36D9">
        <w:rPr>
          <w:rFonts w:ascii="Times New Roman" w:hAnsi="Times New Roman" w:cs="Times New Roman"/>
          <w:sz w:val="24"/>
          <w:szCs w:val="24"/>
        </w:rPr>
        <w:t xml:space="preserve"> proportion of women in second year high school physic</w:t>
      </w:r>
      <w:r w:rsidR="004C159A">
        <w:rPr>
          <w:rFonts w:ascii="Times New Roman" w:hAnsi="Times New Roman" w:cs="Times New Roman"/>
          <w:sz w:val="24"/>
          <w:szCs w:val="24"/>
        </w:rPr>
        <w:t>s</w:t>
      </w:r>
      <w:r w:rsidR="001A584A" w:rsidRPr="00AD36D9">
        <w:rPr>
          <w:rFonts w:ascii="Times New Roman" w:hAnsi="Times New Roman" w:cs="Times New Roman"/>
          <w:sz w:val="24"/>
          <w:szCs w:val="24"/>
        </w:rPr>
        <w:t xml:space="preserve"> courses.</w:t>
      </w:r>
      <w:r w:rsidR="00F20EDF">
        <w:rPr>
          <w:rFonts w:ascii="Times New Roman" w:hAnsi="Times New Roman" w:cs="Times New Roman"/>
          <w:sz w:val="24"/>
          <w:szCs w:val="24"/>
        </w:rPr>
        <w:t xml:space="preserve"> This quantitative study generate</w:t>
      </w:r>
      <w:r w:rsidR="009E65D3">
        <w:rPr>
          <w:rFonts w:ascii="Times New Roman" w:hAnsi="Times New Roman" w:cs="Times New Roman"/>
          <w:sz w:val="24"/>
          <w:szCs w:val="24"/>
        </w:rPr>
        <w:t>d</w:t>
      </w:r>
      <w:r w:rsidR="00F20EDF">
        <w:rPr>
          <w:rFonts w:ascii="Times New Roman" w:hAnsi="Times New Roman" w:cs="Times New Roman"/>
          <w:sz w:val="24"/>
          <w:szCs w:val="24"/>
        </w:rPr>
        <w:t xml:space="preserve"> three models. The first include</w:t>
      </w:r>
      <w:r w:rsidR="009E65D3">
        <w:rPr>
          <w:rFonts w:ascii="Times New Roman" w:hAnsi="Times New Roman" w:cs="Times New Roman"/>
          <w:sz w:val="24"/>
          <w:szCs w:val="24"/>
        </w:rPr>
        <w:t>d</w:t>
      </w:r>
      <w:r w:rsidR="00F20EDF">
        <w:rPr>
          <w:rFonts w:ascii="Times New Roman" w:hAnsi="Times New Roman" w:cs="Times New Roman"/>
          <w:sz w:val="24"/>
          <w:szCs w:val="24"/>
        </w:rPr>
        <w:t xml:space="preserve"> all students and determine</w:t>
      </w:r>
      <w:r w:rsidR="009E65D3">
        <w:rPr>
          <w:rFonts w:ascii="Times New Roman" w:hAnsi="Times New Roman" w:cs="Times New Roman"/>
          <w:sz w:val="24"/>
          <w:szCs w:val="24"/>
        </w:rPr>
        <w:t>d</w:t>
      </w:r>
      <w:r w:rsidR="00F20EDF">
        <w:rPr>
          <w:rFonts w:ascii="Times New Roman" w:hAnsi="Times New Roman" w:cs="Times New Roman"/>
          <w:sz w:val="24"/>
          <w:szCs w:val="24"/>
        </w:rPr>
        <w:t xml:space="preserve"> the impact of self-efficacy on enrollment decision</w:t>
      </w:r>
      <w:r w:rsidR="0088054D">
        <w:rPr>
          <w:rFonts w:ascii="Times New Roman" w:hAnsi="Times New Roman" w:cs="Times New Roman"/>
          <w:sz w:val="24"/>
          <w:szCs w:val="24"/>
        </w:rPr>
        <w:t>s</w:t>
      </w:r>
      <w:r w:rsidR="00F20EDF">
        <w:rPr>
          <w:rFonts w:ascii="Times New Roman" w:hAnsi="Times New Roman" w:cs="Times New Roman"/>
          <w:sz w:val="24"/>
          <w:szCs w:val="24"/>
        </w:rPr>
        <w:t xml:space="preserve"> by all </w:t>
      </w:r>
      <w:r w:rsidR="005E07F4">
        <w:rPr>
          <w:rFonts w:ascii="Times New Roman" w:hAnsi="Times New Roman" w:cs="Times New Roman"/>
          <w:sz w:val="24"/>
          <w:szCs w:val="24"/>
        </w:rPr>
        <w:t>participants</w:t>
      </w:r>
      <w:r w:rsidR="00F20EDF">
        <w:rPr>
          <w:rFonts w:ascii="Times New Roman" w:hAnsi="Times New Roman" w:cs="Times New Roman"/>
          <w:sz w:val="24"/>
          <w:szCs w:val="24"/>
        </w:rPr>
        <w:t xml:space="preserve">. Separate models for men and women </w:t>
      </w:r>
      <w:r w:rsidR="009E65D3">
        <w:rPr>
          <w:rFonts w:ascii="Times New Roman" w:hAnsi="Times New Roman" w:cs="Times New Roman"/>
          <w:sz w:val="24"/>
          <w:szCs w:val="24"/>
        </w:rPr>
        <w:t>were</w:t>
      </w:r>
      <w:r w:rsidR="00F20EDF">
        <w:rPr>
          <w:rFonts w:ascii="Times New Roman" w:hAnsi="Times New Roman" w:cs="Times New Roman"/>
          <w:sz w:val="24"/>
          <w:szCs w:val="24"/>
        </w:rPr>
        <w:t xml:space="preserve"> </w:t>
      </w:r>
      <w:r w:rsidR="0088054D">
        <w:rPr>
          <w:rFonts w:ascii="Times New Roman" w:hAnsi="Times New Roman" w:cs="Times New Roman"/>
          <w:sz w:val="24"/>
          <w:szCs w:val="24"/>
        </w:rPr>
        <w:t xml:space="preserve">also </w:t>
      </w:r>
      <w:r w:rsidR="00F20EDF">
        <w:rPr>
          <w:rFonts w:ascii="Times New Roman" w:hAnsi="Times New Roman" w:cs="Times New Roman"/>
          <w:sz w:val="24"/>
          <w:szCs w:val="24"/>
        </w:rPr>
        <w:t xml:space="preserve">generated to examine </w:t>
      </w:r>
      <w:r w:rsidR="002700ED">
        <w:rPr>
          <w:rFonts w:ascii="Times New Roman" w:hAnsi="Times New Roman" w:cs="Times New Roman"/>
          <w:sz w:val="24"/>
          <w:szCs w:val="24"/>
        </w:rPr>
        <w:t xml:space="preserve">gendered </w:t>
      </w:r>
      <w:r w:rsidR="00F20EDF">
        <w:rPr>
          <w:rFonts w:ascii="Times New Roman" w:hAnsi="Times New Roman" w:cs="Times New Roman"/>
          <w:sz w:val="24"/>
          <w:szCs w:val="24"/>
        </w:rPr>
        <w:t>differences in the impact of self-efficacy on enrollment decisions in physics.</w:t>
      </w:r>
      <w:r w:rsidR="00577FF3" w:rsidRPr="00AD36D9">
        <w:rPr>
          <w:rFonts w:ascii="Times New Roman" w:hAnsi="Times New Roman" w:cs="Times New Roman"/>
          <w:sz w:val="24"/>
          <w:szCs w:val="24"/>
        </w:rPr>
        <w:t xml:space="preserve"> </w:t>
      </w:r>
    </w:p>
    <w:p w14:paraId="7210F067" w14:textId="267A44D3" w:rsidR="004B5398" w:rsidRPr="00AD36D9" w:rsidRDefault="00DC636F" w:rsidP="00BA4A2D">
      <w:pPr>
        <w:pStyle w:val="Heading2"/>
      </w:pPr>
      <w:bookmarkStart w:id="3" w:name="_Toc117501906"/>
      <w:r w:rsidRPr="00AD36D9">
        <w:t>Theoretical Foundations</w:t>
      </w:r>
      <w:bookmarkEnd w:id="3"/>
    </w:p>
    <w:p w14:paraId="0EE3A29F" w14:textId="16B4DCAD" w:rsidR="004B5398" w:rsidRPr="00AD36D9" w:rsidRDefault="004B5398" w:rsidP="00BA4A2D">
      <w:pPr>
        <w:widowControl w:val="0"/>
        <w:autoSpaceDE w:val="0"/>
        <w:autoSpaceDN w:val="0"/>
        <w:adjustRightInd w:val="0"/>
        <w:spacing w:after="0" w:line="480" w:lineRule="auto"/>
        <w:ind w:firstLine="720"/>
        <w:rPr>
          <w:rFonts w:ascii="Times New Roman" w:hAnsi="Times New Roman" w:cs="Times New Roman"/>
          <w:sz w:val="24"/>
          <w:szCs w:val="24"/>
        </w:rPr>
      </w:pPr>
      <w:r w:rsidRPr="00AD36D9">
        <w:rPr>
          <w:rFonts w:ascii="Times New Roman" w:hAnsi="Times New Roman" w:cs="Times New Roman"/>
          <w:sz w:val="24"/>
          <w:szCs w:val="24"/>
        </w:rPr>
        <w:t xml:space="preserve">Bandura </w:t>
      </w:r>
      <w:r w:rsidR="00883540" w:rsidRPr="00AD36D9">
        <w:rPr>
          <w:rFonts w:ascii="Times New Roman" w:hAnsi="Times New Roman" w:cs="Times New Roman"/>
          <w:sz w:val="24"/>
          <w:szCs w:val="24"/>
        </w:rPr>
        <w:t xml:space="preserve">(1977) </w:t>
      </w:r>
      <w:r w:rsidRPr="00AD36D9">
        <w:rPr>
          <w:rFonts w:ascii="Times New Roman" w:hAnsi="Times New Roman" w:cs="Times New Roman"/>
          <w:sz w:val="24"/>
          <w:szCs w:val="24"/>
        </w:rPr>
        <w:t>theorized that one’s belief in success at a task serves as a behavior affecting motivator</w:t>
      </w:r>
      <w:r w:rsidR="00883540" w:rsidRPr="00AD36D9">
        <w:rPr>
          <w:rFonts w:ascii="Times New Roman" w:hAnsi="Times New Roman" w:cs="Times New Roman"/>
          <w:sz w:val="24"/>
          <w:szCs w:val="24"/>
        </w:rPr>
        <w:t xml:space="preserve">. </w:t>
      </w:r>
      <w:r w:rsidR="00234D3C">
        <w:rPr>
          <w:rFonts w:ascii="Times New Roman" w:hAnsi="Times New Roman" w:cs="Times New Roman"/>
          <w:sz w:val="24"/>
          <w:szCs w:val="24"/>
        </w:rPr>
        <w:t>S</w:t>
      </w:r>
      <w:r w:rsidRPr="00AD36D9">
        <w:rPr>
          <w:rFonts w:ascii="Times New Roman" w:hAnsi="Times New Roman" w:cs="Times New Roman"/>
          <w:sz w:val="24"/>
          <w:szCs w:val="24"/>
        </w:rPr>
        <w:t>tudents</w:t>
      </w:r>
      <w:r w:rsidR="00234D3C">
        <w:rPr>
          <w:rFonts w:ascii="Times New Roman" w:hAnsi="Times New Roman" w:cs="Times New Roman"/>
          <w:sz w:val="24"/>
          <w:szCs w:val="24"/>
        </w:rPr>
        <w:t>’</w:t>
      </w:r>
      <w:r w:rsidRPr="00AD36D9">
        <w:rPr>
          <w:rFonts w:ascii="Times New Roman" w:hAnsi="Times New Roman" w:cs="Times New Roman"/>
          <w:sz w:val="24"/>
          <w:szCs w:val="24"/>
        </w:rPr>
        <w:t xml:space="preserve"> self-efficacy beliefs guide what </w:t>
      </w:r>
      <w:r w:rsidR="00B4582B">
        <w:rPr>
          <w:rFonts w:ascii="Times New Roman" w:hAnsi="Times New Roman" w:cs="Times New Roman"/>
          <w:sz w:val="24"/>
          <w:szCs w:val="24"/>
        </w:rPr>
        <w:t>they</w:t>
      </w:r>
      <w:r w:rsidR="00B4582B"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believe </w:t>
      </w:r>
      <w:r w:rsidR="00B4582B">
        <w:rPr>
          <w:rFonts w:ascii="Times New Roman" w:hAnsi="Times New Roman" w:cs="Times New Roman"/>
          <w:sz w:val="24"/>
          <w:szCs w:val="24"/>
        </w:rPr>
        <w:t>they</w:t>
      </w:r>
      <w:r w:rsidR="00B4582B"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can and cannot do as well as what </w:t>
      </w:r>
      <w:r w:rsidR="00B4582B">
        <w:rPr>
          <w:rFonts w:ascii="Times New Roman" w:hAnsi="Times New Roman" w:cs="Times New Roman"/>
          <w:sz w:val="24"/>
          <w:szCs w:val="24"/>
        </w:rPr>
        <w:t>they</w:t>
      </w:r>
      <w:r w:rsidR="00B4582B" w:rsidRPr="00AD36D9">
        <w:rPr>
          <w:rFonts w:ascii="Times New Roman" w:hAnsi="Times New Roman" w:cs="Times New Roman"/>
          <w:sz w:val="24"/>
          <w:szCs w:val="24"/>
        </w:rPr>
        <w:t xml:space="preserve"> </w:t>
      </w:r>
      <w:r w:rsidRPr="00AD36D9">
        <w:rPr>
          <w:rFonts w:ascii="Times New Roman" w:hAnsi="Times New Roman" w:cs="Times New Roman"/>
          <w:sz w:val="24"/>
          <w:szCs w:val="24"/>
        </w:rPr>
        <w:t>can and cannot be (Bembenutty, 2007)</w:t>
      </w:r>
      <w:r w:rsidR="00736F31" w:rsidRPr="00AD36D9">
        <w:rPr>
          <w:rFonts w:ascii="Times New Roman" w:hAnsi="Times New Roman" w:cs="Times New Roman"/>
          <w:sz w:val="24"/>
          <w:szCs w:val="24"/>
        </w:rPr>
        <w:t xml:space="preserve">. </w:t>
      </w:r>
      <w:r w:rsidR="002F6FF0" w:rsidRPr="00AD36D9">
        <w:rPr>
          <w:rFonts w:ascii="Times New Roman" w:eastAsia="Times New Roman" w:hAnsi="Times New Roman" w:cs="Times New Roman"/>
          <w:sz w:val="24"/>
          <w:szCs w:val="24"/>
          <w:lang w:val="en-GB" w:eastAsia="en-GB"/>
        </w:rPr>
        <w:t>Bandura describe</w:t>
      </w:r>
      <w:r w:rsidR="00B4582B">
        <w:rPr>
          <w:rFonts w:ascii="Times New Roman" w:eastAsia="Times New Roman" w:hAnsi="Times New Roman" w:cs="Times New Roman"/>
          <w:sz w:val="24"/>
          <w:szCs w:val="24"/>
          <w:lang w:val="en-GB" w:eastAsia="en-GB"/>
        </w:rPr>
        <w:t>d</w:t>
      </w:r>
      <w:r w:rsidR="002F6FF0" w:rsidRPr="00AD36D9">
        <w:rPr>
          <w:rFonts w:ascii="Times New Roman" w:eastAsia="Times New Roman" w:hAnsi="Times New Roman" w:cs="Times New Roman"/>
          <w:sz w:val="24"/>
          <w:szCs w:val="24"/>
          <w:lang w:val="en-GB" w:eastAsia="en-GB"/>
        </w:rPr>
        <w:t xml:space="preserve"> </w:t>
      </w:r>
      <w:r w:rsidR="00AB75F2">
        <w:rPr>
          <w:rFonts w:ascii="Times New Roman" w:eastAsia="Times New Roman" w:hAnsi="Times New Roman" w:cs="Times New Roman"/>
          <w:sz w:val="24"/>
          <w:szCs w:val="24"/>
          <w:lang w:val="en-GB" w:eastAsia="en-GB"/>
        </w:rPr>
        <w:t>that</w:t>
      </w:r>
      <w:r w:rsidR="00AB75F2" w:rsidRPr="00AD36D9">
        <w:rPr>
          <w:rFonts w:ascii="Times New Roman" w:eastAsia="Times New Roman" w:hAnsi="Times New Roman" w:cs="Times New Roman"/>
          <w:sz w:val="24"/>
          <w:szCs w:val="24"/>
          <w:lang w:val="en-GB" w:eastAsia="en-GB"/>
        </w:rPr>
        <w:t xml:space="preserve"> </w:t>
      </w:r>
      <w:r w:rsidR="002F6FF0" w:rsidRPr="00AD36D9">
        <w:rPr>
          <w:rFonts w:ascii="Times New Roman" w:eastAsia="Times New Roman" w:hAnsi="Times New Roman" w:cs="Times New Roman"/>
          <w:sz w:val="24"/>
          <w:szCs w:val="24"/>
          <w:lang w:val="en-GB" w:eastAsia="en-GB"/>
        </w:rPr>
        <w:t>student</w:t>
      </w:r>
      <w:r w:rsidR="00B4582B">
        <w:rPr>
          <w:rFonts w:ascii="Times New Roman" w:eastAsia="Times New Roman" w:hAnsi="Times New Roman" w:cs="Times New Roman"/>
          <w:sz w:val="24"/>
          <w:szCs w:val="24"/>
          <w:lang w:val="en-GB" w:eastAsia="en-GB"/>
        </w:rPr>
        <w:t>s</w:t>
      </w:r>
      <w:r w:rsidR="002F6FF0" w:rsidRPr="00AD36D9">
        <w:rPr>
          <w:rFonts w:ascii="Times New Roman" w:eastAsia="Times New Roman" w:hAnsi="Times New Roman" w:cs="Times New Roman"/>
          <w:sz w:val="24"/>
          <w:szCs w:val="24"/>
          <w:lang w:val="en-GB" w:eastAsia="en-GB"/>
        </w:rPr>
        <w:t>’ level of self-efficacy is derived from four components: personal mastery experiences, vicarious learning experiences, social persuasion experiences, and physiological state</w:t>
      </w:r>
      <w:r w:rsidR="002F6FF0">
        <w:rPr>
          <w:rFonts w:ascii="Times New Roman" w:eastAsia="Times New Roman" w:hAnsi="Times New Roman" w:cs="Times New Roman"/>
          <w:sz w:val="24"/>
          <w:szCs w:val="24"/>
          <w:lang w:val="en-GB" w:eastAsia="en-GB"/>
        </w:rPr>
        <w:t>.</w:t>
      </w:r>
      <w:r w:rsidR="0021140F">
        <w:rPr>
          <w:rFonts w:ascii="Times New Roman" w:eastAsia="Times New Roman" w:hAnsi="Times New Roman" w:cs="Times New Roman"/>
          <w:sz w:val="24"/>
          <w:szCs w:val="24"/>
          <w:lang w:val="en-GB" w:eastAsia="en-GB"/>
        </w:rPr>
        <w:t xml:space="preserve"> </w:t>
      </w:r>
      <w:r w:rsidRPr="00AD36D9">
        <w:rPr>
          <w:rFonts w:ascii="Times New Roman" w:hAnsi="Times New Roman" w:cs="Times New Roman"/>
          <w:sz w:val="24"/>
          <w:szCs w:val="24"/>
        </w:rPr>
        <w:t xml:space="preserve">The belief in the success at a task can </w:t>
      </w:r>
      <w:r w:rsidR="001767CC">
        <w:rPr>
          <w:rFonts w:ascii="Times New Roman" w:hAnsi="Times New Roman" w:cs="Times New Roman"/>
          <w:sz w:val="24"/>
          <w:szCs w:val="24"/>
        </w:rPr>
        <w:t>encourage</w:t>
      </w:r>
      <w:r w:rsidRPr="00AD36D9">
        <w:rPr>
          <w:rFonts w:ascii="Times New Roman" w:hAnsi="Times New Roman" w:cs="Times New Roman"/>
          <w:sz w:val="24"/>
          <w:szCs w:val="24"/>
        </w:rPr>
        <w:t xml:space="preserve"> student</w:t>
      </w:r>
      <w:r w:rsidR="00F730E9">
        <w:rPr>
          <w:rFonts w:ascii="Times New Roman" w:hAnsi="Times New Roman" w:cs="Times New Roman"/>
          <w:sz w:val="24"/>
          <w:szCs w:val="24"/>
        </w:rPr>
        <w:t>s</w:t>
      </w:r>
      <w:r w:rsidRPr="00AD36D9">
        <w:rPr>
          <w:rFonts w:ascii="Times New Roman" w:hAnsi="Times New Roman" w:cs="Times New Roman"/>
          <w:sz w:val="24"/>
          <w:szCs w:val="24"/>
        </w:rPr>
        <w:t xml:space="preserve"> to attempt the task. </w:t>
      </w:r>
      <w:r w:rsidR="001767CC">
        <w:rPr>
          <w:rFonts w:ascii="Times New Roman" w:hAnsi="Times New Roman" w:cs="Times New Roman"/>
          <w:sz w:val="24"/>
          <w:szCs w:val="24"/>
        </w:rPr>
        <w:t>E</w:t>
      </w:r>
      <w:r w:rsidR="001767CC" w:rsidRPr="00AD36D9">
        <w:rPr>
          <w:rFonts w:ascii="Times New Roman" w:hAnsi="Times New Roman" w:cs="Times New Roman"/>
          <w:sz w:val="24"/>
          <w:szCs w:val="24"/>
        </w:rPr>
        <w:t>fficacy</w:t>
      </w:r>
      <w:r w:rsidRPr="00AD36D9">
        <w:rPr>
          <w:rFonts w:ascii="Times New Roman" w:hAnsi="Times New Roman" w:cs="Times New Roman"/>
          <w:sz w:val="24"/>
          <w:szCs w:val="24"/>
        </w:rPr>
        <w:t xml:space="preserve"> </w:t>
      </w:r>
      <w:r w:rsidR="001767CC">
        <w:rPr>
          <w:rFonts w:ascii="Times New Roman" w:hAnsi="Times New Roman" w:cs="Times New Roman"/>
          <w:sz w:val="24"/>
          <w:szCs w:val="24"/>
        </w:rPr>
        <w:t>can “</w:t>
      </w:r>
      <w:r w:rsidRPr="00AD36D9">
        <w:rPr>
          <w:rFonts w:ascii="Times New Roman" w:hAnsi="Times New Roman" w:cs="Times New Roman"/>
          <w:sz w:val="24"/>
          <w:szCs w:val="24"/>
        </w:rPr>
        <w:t>determine whether coping behavior will be initiated, how much effort will be expended, and how long it will be sustained in the face of obstacles and aversive experiences” (</w:t>
      </w:r>
      <w:r w:rsidR="001767CC">
        <w:rPr>
          <w:rFonts w:ascii="Times New Roman" w:hAnsi="Times New Roman" w:cs="Times New Roman"/>
          <w:sz w:val="24"/>
          <w:szCs w:val="24"/>
        </w:rPr>
        <w:t xml:space="preserve">Bandura, </w:t>
      </w:r>
      <w:r w:rsidR="00467A5D">
        <w:rPr>
          <w:rFonts w:ascii="Times New Roman" w:hAnsi="Times New Roman" w:cs="Times New Roman"/>
          <w:sz w:val="24"/>
          <w:szCs w:val="24"/>
        </w:rPr>
        <w:t xml:space="preserve">1977, </w:t>
      </w:r>
      <w:r w:rsidRPr="00AD36D9">
        <w:rPr>
          <w:rFonts w:ascii="Times New Roman" w:hAnsi="Times New Roman" w:cs="Times New Roman"/>
          <w:sz w:val="24"/>
          <w:szCs w:val="24"/>
        </w:rPr>
        <w:t>p. 191)</w:t>
      </w:r>
      <w:r w:rsidR="00736F31" w:rsidRPr="00AD36D9">
        <w:rPr>
          <w:rFonts w:ascii="Times New Roman" w:hAnsi="Times New Roman" w:cs="Times New Roman"/>
          <w:sz w:val="24"/>
          <w:szCs w:val="24"/>
        </w:rPr>
        <w:t>.</w:t>
      </w:r>
      <w:r w:rsidR="009A350B" w:rsidRPr="00AD36D9">
        <w:rPr>
          <w:rFonts w:ascii="Times New Roman" w:hAnsi="Times New Roman" w:cs="Times New Roman"/>
          <w:sz w:val="24"/>
          <w:szCs w:val="24"/>
        </w:rPr>
        <w:t xml:space="preserve"> </w:t>
      </w:r>
      <w:r w:rsidR="00397343" w:rsidRPr="00AD36D9">
        <w:rPr>
          <w:rFonts w:ascii="Times New Roman" w:hAnsi="Times New Roman" w:cs="Times New Roman"/>
          <w:sz w:val="24"/>
          <w:szCs w:val="24"/>
        </w:rPr>
        <w:t xml:space="preserve">Therefore, the </w:t>
      </w:r>
      <w:r w:rsidR="009A350B" w:rsidRPr="00AD36D9">
        <w:rPr>
          <w:rFonts w:ascii="Times New Roman" w:hAnsi="Times New Roman" w:cs="Times New Roman"/>
          <w:sz w:val="24"/>
          <w:szCs w:val="24"/>
        </w:rPr>
        <w:t>experiences of first</w:t>
      </w:r>
      <w:r w:rsidR="00467A5D">
        <w:rPr>
          <w:rFonts w:ascii="Times New Roman" w:hAnsi="Times New Roman" w:cs="Times New Roman"/>
          <w:sz w:val="24"/>
          <w:szCs w:val="24"/>
        </w:rPr>
        <w:t>-</w:t>
      </w:r>
      <w:r w:rsidR="009A350B" w:rsidRPr="00AD36D9">
        <w:rPr>
          <w:rFonts w:ascii="Times New Roman" w:hAnsi="Times New Roman" w:cs="Times New Roman"/>
          <w:sz w:val="24"/>
          <w:szCs w:val="24"/>
        </w:rPr>
        <w:t xml:space="preserve">year physics students </w:t>
      </w:r>
      <w:r w:rsidR="00397343" w:rsidRPr="00AD36D9">
        <w:rPr>
          <w:rFonts w:ascii="Times New Roman" w:hAnsi="Times New Roman" w:cs="Times New Roman"/>
          <w:sz w:val="24"/>
          <w:szCs w:val="24"/>
        </w:rPr>
        <w:t xml:space="preserve">may </w:t>
      </w:r>
      <w:r w:rsidR="007E2B51" w:rsidRPr="00AD36D9">
        <w:rPr>
          <w:rFonts w:ascii="Times New Roman" w:hAnsi="Times New Roman" w:cs="Times New Roman"/>
          <w:sz w:val="24"/>
          <w:szCs w:val="24"/>
        </w:rPr>
        <w:t>establish</w:t>
      </w:r>
      <w:r w:rsidR="009A350B" w:rsidRPr="00AD36D9">
        <w:rPr>
          <w:rFonts w:ascii="Times New Roman" w:hAnsi="Times New Roman" w:cs="Times New Roman"/>
          <w:sz w:val="24"/>
          <w:szCs w:val="24"/>
        </w:rPr>
        <w:t xml:space="preserve"> their level of physics self-efficacy</w:t>
      </w:r>
      <w:r w:rsidR="00397343" w:rsidRPr="00AD36D9">
        <w:rPr>
          <w:rFonts w:ascii="Times New Roman" w:hAnsi="Times New Roman" w:cs="Times New Roman"/>
          <w:sz w:val="24"/>
          <w:szCs w:val="24"/>
        </w:rPr>
        <w:t xml:space="preserve"> and</w:t>
      </w:r>
      <w:r w:rsidR="007E2B51" w:rsidRPr="00AD36D9">
        <w:rPr>
          <w:rFonts w:ascii="Times New Roman" w:hAnsi="Times New Roman" w:cs="Times New Roman"/>
          <w:sz w:val="24"/>
          <w:szCs w:val="24"/>
        </w:rPr>
        <w:t xml:space="preserve"> </w:t>
      </w:r>
      <w:r w:rsidR="00397343" w:rsidRPr="00AD36D9">
        <w:rPr>
          <w:rFonts w:ascii="Times New Roman" w:hAnsi="Times New Roman" w:cs="Times New Roman"/>
          <w:sz w:val="24"/>
          <w:szCs w:val="24"/>
        </w:rPr>
        <w:t>t</w:t>
      </w:r>
      <w:r w:rsidR="009A350B" w:rsidRPr="00AD36D9">
        <w:rPr>
          <w:rFonts w:ascii="Times New Roman" w:hAnsi="Times New Roman" w:cs="Times New Roman"/>
          <w:sz w:val="24"/>
          <w:szCs w:val="24"/>
        </w:rPr>
        <w:t>hese beliefs of success in physics may impact future actions taken related to physics.</w:t>
      </w:r>
    </w:p>
    <w:p w14:paraId="6B9383B4" w14:textId="2B8FDC3D" w:rsidR="004B5398" w:rsidRPr="00AD36D9" w:rsidRDefault="004B5398" w:rsidP="00BA4A2D">
      <w:pPr>
        <w:widowControl w:val="0"/>
        <w:autoSpaceDE w:val="0"/>
        <w:autoSpaceDN w:val="0"/>
        <w:adjustRightInd w:val="0"/>
        <w:spacing w:after="0" w:line="480" w:lineRule="auto"/>
        <w:ind w:firstLine="720"/>
        <w:rPr>
          <w:rFonts w:ascii="Times New Roman" w:hAnsi="Times New Roman" w:cs="Times New Roman"/>
          <w:sz w:val="24"/>
          <w:szCs w:val="24"/>
        </w:rPr>
      </w:pPr>
      <w:r w:rsidRPr="00AD36D9">
        <w:rPr>
          <w:rFonts w:ascii="Times New Roman" w:hAnsi="Times New Roman" w:cs="Times New Roman"/>
          <w:sz w:val="24"/>
          <w:szCs w:val="24"/>
        </w:rPr>
        <w:lastRenderedPageBreak/>
        <w:t xml:space="preserve">The level of self-efficacy not only indicates how an individual assesses their current ability to perform a task but also includes their belief in their ability to learn </w:t>
      </w:r>
      <w:r w:rsidR="009A350B" w:rsidRPr="00AD36D9">
        <w:rPr>
          <w:rFonts w:ascii="Times New Roman" w:hAnsi="Times New Roman" w:cs="Times New Roman"/>
          <w:sz w:val="24"/>
          <w:szCs w:val="24"/>
        </w:rPr>
        <w:t xml:space="preserve">a new </w:t>
      </w:r>
      <w:r w:rsidRPr="00AD36D9">
        <w:rPr>
          <w:rFonts w:ascii="Times New Roman" w:hAnsi="Times New Roman" w:cs="Times New Roman"/>
          <w:sz w:val="24"/>
          <w:szCs w:val="24"/>
        </w:rPr>
        <w:t>task (Sakiz, 2008)</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A lower sense of self-efficacy could have a major impact on student choice to enroll in a second and more challenging physics courses</w:t>
      </w:r>
      <w:r w:rsidR="00E25C09">
        <w:rPr>
          <w:rFonts w:ascii="Times New Roman" w:hAnsi="Times New Roman" w:cs="Times New Roman"/>
          <w:sz w:val="24"/>
          <w:szCs w:val="24"/>
        </w:rPr>
        <w:t>.</w:t>
      </w:r>
      <w:r w:rsidR="00AB75F2">
        <w:rPr>
          <w:rFonts w:ascii="Times New Roman" w:hAnsi="Times New Roman" w:cs="Times New Roman"/>
          <w:sz w:val="24"/>
          <w:szCs w:val="24"/>
        </w:rPr>
        <w:t xml:space="preserve"> </w:t>
      </w:r>
      <w:r w:rsidR="00ED31DB" w:rsidRPr="00AD36D9">
        <w:rPr>
          <w:rFonts w:ascii="Times New Roman" w:hAnsi="Times New Roman" w:cs="Times New Roman"/>
          <w:sz w:val="24"/>
          <w:szCs w:val="24"/>
        </w:rPr>
        <w:t xml:space="preserve">The decision to enroll in a second year of high school physics with the increased math prerequisite </w:t>
      </w:r>
      <w:r w:rsidR="00A6381F">
        <w:rPr>
          <w:rFonts w:ascii="Times New Roman" w:hAnsi="Times New Roman" w:cs="Times New Roman"/>
          <w:sz w:val="24"/>
          <w:szCs w:val="24"/>
        </w:rPr>
        <w:t>is</w:t>
      </w:r>
      <w:r w:rsidR="00ED31DB" w:rsidRPr="00AD36D9">
        <w:rPr>
          <w:rFonts w:ascii="Times New Roman" w:hAnsi="Times New Roman" w:cs="Times New Roman"/>
          <w:sz w:val="24"/>
          <w:szCs w:val="24"/>
        </w:rPr>
        <w:t xml:space="preserve"> an indicator of perseverance. The actions of teachers </w:t>
      </w:r>
      <w:r w:rsidR="00B53687">
        <w:rPr>
          <w:rFonts w:ascii="Times New Roman" w:hAnsi="Times New Roman" w:cs="Times New Roman"/>
          <w:sz w:val="24"/>
          <w:szCs w:val="24"/>
        </w:rPr>
        <w:t>may</w:t>
      </w:r>
      <w:r w:rsidR="00ED31DB" w:rsidRPr="00AD36D9">
        <w:rPr>
          <w:rFonts w:ascii="Times New Roman" w:hAnsi="Times New Roman" w:cs="Times New Roman"/>
          <w:sz w:val="24"/>
          <w:szCs w:val="24"/>
        </w:rPr>
        <w:t xml:space="preserve"> impact the self-efficacy of students directly through verbal persuasion. </w:t>
      </w:r>
      <w:r w:rsidR="000F3292">
        <w:rPr>
          <w:rFonts w:ascii="Times New Roman" w:hAnsi="Times New Roman" w:cs="Times New Roman"/>
          <w:sz w:val="24"/>
          <w:szCs w:val="24"/>
        </w:rPr>
        <w:t>T</w:t>
      </w:r>
      <w:r w:rsidRPr="00AD36D9">
        <w:rPr>
          <w:rFonts w:ascii="Times New Roman" w:hAnsi="Times New Roman" w:cs="Times New Roman"/>
          <w:sz w:val="24"/>
          <w:szCs w:val="24"/>
        </w:rPr>
        <w:t xml:space="preserve">hose who are </w:t>
      </w:r>
      <w:r w:rsidR="00ED31DB" w:rsidRPr="00AD36D9">
        <w:rPr>
          <w:rFonts w:ascii="Times New Roman" w:hAnsi="Times New Roman" w:cs="Times New Roman"/>
          <w:sz w:val="24"/>
          <w:szCs w:val="24"/>
        </w:rPr>
        <w:t xml:space="preserve">verbally </w:t>
      </w:r>
      <w:r w:rsidRPr="00AD36D9">
        <w:rPr>
          <w:rFonts w:ascii="Times New Roman" w:hAnsi="Times New Roman" w:cs="Times New Roman"/>
          <w:sz w:val="24"/>
          <w:szCs w:val="24"/>
        </w:rPr>
        <w:t>persuaded that they are capable of success in difficult situations and given aid for action are more likely to harness greater effort</w:t>
      </w:r>
      <w:r w:rsidR="000F3292">
        <w:rPr>
          <w:rFonts w:ascii="Times New Roman" w:hAnsi="Times New Roman" w:cs="Times New Roman"/>
          <w:sz w:val="24"/>
          <w:szCs w:val="24"/>
        </w:rPr>
        <w:t xml:space="preserve"> (Bandura, 1977)</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Self-efficacy theory provides a mechanism for understanding when and why students attempt tasks</w:t>
      </w:r>
      <w:r w:rsidR="00ED31DB" w:rsidRPr="00AD36D9">
        <w:rPr>
          <w:rFonts w:ascii="Times New Roman" w:hAnsi="Times New Roman" w:cs="Times New Roman"/>
          <w:sz w:val="24"/>
          <w:szCs w:val="24"/>
        </w:rPr>
        <w:t xml:space="preserve"> they see as difficult</w:t>
      </w:r>
      <w:r w:rsidR="00736F31" w:rsidRPr="00AD36D9">
        <w:rPr>
          <w:rFonts w:ascii="Times New Roman" w:hAnsi="Times New Roman" w:cs="Times New Roman"/>
          <w:sz w:val="24"/>
          <w:szCs w:val="24"/>
        </w:rPr>
        <w:t xml:space="preserve">. </w:t>
      </w:r>
    </w:p>
    <w:p w14:paraId="45E446A3" w14:textId="1792D6FA" w:rsidR="00FA0A36" w:rsidRDefault="004B5398" w:rsidP="00BA4A2D">
      <w:pPr>
        <w:widowControl w:val="0"/>
        <w:autoSpaceDE w:val="0"/>
        <w:autoSpaceDN w:val="0"/>
        <w:adjustRightInd w:val="0"/>
        <w:spacing w:after="0" w:line="480" w:lineRule="auto"/>
        <w:ind w:firstLine="720"/>
        <w:rPr>
          <w:rFonts w:ascii="Times New Roman" w:hAnsi="Times New Roman" w:cs="Times New Roman"/>
          <w:sz w:val="24"/>
          <w:szCs w:val="24"/>
        </w:rPr>
      </w:pPr>
      <w:r w:rsidRPr="00AD36D9">
        <w:rPr>
          <w:rFonts w:ascii="Times New Roman" w:hAnsi="Times New Roman" w:cs="Times New Roman"/>
          <w:sz w:val="24"/>
          <w:szCs w:val="24"/>
        </w:rPr>
        <w:t xml:space="preserve">The choice to </w:t>
      </w:r>
      <w:r w:rsidR="0057600A">
        <w:rPr>
          <w:rFonts w:ascii="Times New Roman" w:hAnsi="Times New Roman" w:cs="Times New Roman"/>
          <w:sz w:val="24"/>
          <w:szCs w:val="24"/>
        </w:rPr>
        <w:t>persevere</w:t>
      </w:r>
      <w:r w:rsidR="0057600A" w:rsidRPr="00AD36D9">
        <w:rPr>
          <w:rFonts w:ascii="Times New Roman" w:hAnsi="Times New Roman" w:cs="Times New Roman"/>
          <w:sz w:val="24"/>
          <w:szCs w:val="24"/>
        </w:rPr>
        <w:t xml:space="preserve"> </w:t>
      </w:r>
      <w:r w:rsidR="00AB75F2" w:rsidRPr="00AD36D9">
        <w:rPr>
          <w:rFonts w:ascii="Times New Roman" w:hAnsi="Times New Roman" w:cs="Times New Roman"/>
          <w:sz w:val="24"/>
          <w:szCs w:val="24"/>
        </w:rPr>
        <w:t>despite</w:t>
      </w:r>
      <w:r w:rsidRPr="00AD36D9">
        <w:rPr>
          <w:rFonts w:ascii="Times New Roman" w:hAnsi="Times New Roman" w:cs="Times New Roman"/>
          <w:sz w:val="24"/>
          <w:szCs w:val="24"/>
        </w:rPr>
        <w:t xml:space="preserve"> perceived or experienced difficulties is governed by social cognitive theory</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In social cognitive theory</w:t>
      </w:r>
      <w:r w:rsidR="00A6381F">
        <w:rPr>
          <w:rFonts w:ascii="Times New Roman" w:hAnsi="Times New Roman" w:cs="Times New Roman"/>
          <w:sz w:val="24"/>
          <w:szCs w:val="24"/>
        </w:rPr>
        <w:t>,</w:t>
      </w:r>
      <w:r w:rsidRPr="00AD36D9">
        <w:rPr>
          <w:rFonts w:ascii="Times New Roman" w:hAnsi="Times New Roman" w:cs="Times New Roman"/>
          <w:sz w:val="24"/>
          <w:szCs w:val="24"/>
        </w:rPr>
        <w:t xml:space="preserve"> a person will regulate their behavior through an application of moral standards</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These moral standards formulate the cognitive rule structures which guide self-monitoring, self-evaluation, and self-sanctions (Bandura, 1990)</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The dualistic view of how person and society relate is foundational to social cognitive theory</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Self-sanctions or regulations keep individual</w:t>
      </w:r>
      <w:r w:rsidR="00A6381F">
        <w:rPr>
          <w:rFonts w:ascii="Times New Roman" w:hAnsi="Times New Roman" w:cs="Times New Roman"/>
          <w:sz w:val="24"/>
          <w:szCs w:val="24"/>
        </w:rPr>
        <w:t>s</w:t>
      </w:r>
      <w:r w:rsidRPr="00AD36D9">
        <w:rPr>
          <w:rFonts w:ascii="Times New Roman" w:hAnsi="Times New Roman" w:cs="Times New Roman"/>
          <w:sz w:val="24"/>
          <w:szCs w:val="24"/>
        </w:rPr>
        <w:t xml:space="preserve">’ conduct in line with their internal standards formed through a personal perspective on how society expects them to behave. </w:t>
      </w:r>
    </w:p>
    <w:p w14:paraId="2CE20DFD" w14:textId="1C67ADDE" w:rsidR="00D52C9C" w:rsidRPr="00E6179C" w:rsidRDefault="004B5398" w:rsidP="00BA4A2D">
      <w:pPr>
        <w:widowControl w:val="0"/>
        <w:autoSpaceDE w:val="0"/>
        <w:autoSpaceDN w:val="0"/>
        <w:adjustRightInd w:val="0"/>
        <w:spacing w:after="0" w:line="480" w:lineRule="auto"/>
        <w:ind w:firstLine="720"/>
        <w:rPr>
          <w:rFonts w:ascii="Times New Roman" w:hAnsi="Times New Roman" w:cs="Times New Roman"/>
          <w:sz w:val="24"/>
          <w:szCs w:val="24"/>
        </w:rPr>
      </w:pPr>
      <w:r w:rsidRPr="00AD36D9">
        <w:rPr>
          <w:rFonts w:ascii="Times New Roman" w:hAnsi="Times New Roman" w:cs="Times New Roman"/>
          <w:sz w:val="24"/>
          <w:szCs w:val="24"/>
        </w:rPr>
        <w:t>Self-regulatory behavior</w:t>
      </w:r>
      <w:r w:rsidR="00FA0A36">
        <w:rPr>
          <w:rFonts w:ascii="Times New Roman" w:hAnsi="Times New Roman" w:cs="Times New Roman"/>
          <w:sz w:val="24"/>
          <w:szCs w:val="24"/>
        </w:rPr>
        <w:t>,</w:t>
      </w:r>
      <w:r w:rsidRPr="00AD36D9">
        <w:rPr>
          <w:rFonts w:ascii="Times New Roman" w:hAnsi="Times New Roman" w:cs="Times New Roman"/>
          <w:sz w:val="24"/>
          <w:szCs w:val="24"/>
        </w:rPr>
        <w:t xml:space="preserve"> and what drives it</w:t>
      </w:r>
      <w:r w:rsidR="00FA0A36">
        <w:rPr>
          <w:rFonts w:ascii="Times New Roman" w:hAnsi="Times New Roman" w:cs="Times New Roman"/>
          <w:sz w:val="24"/>
          <w:szCs w:val="24"/>
        </w:rPr>
        <w:t>,</w:t>
      </w:r>
      <w:r w:rsidRPr="00AD36D9">
        <w:rPr>
          <w:rFonts w:ascii="Times New Roman" w:hAnsi="Times New Roman" w:cs="Times New Roman"/>
          <w:sz w:val="24"/>
          <w:szCs w:val="24"/>
        </w:rPr>
        <w:t xml:space="preserve"> is essential to </w:t>
      </w:r>
      <w:r w:rsidR="00FB434D" w:rsidRPr="00AD36D9">
        <w:rPr>
          <w:rFonts w:ascii="Times New Roman" w:hAnsi="Times New Roman" w:cs="Times New Roman"/>
          <w:sz w:val="24"/>
          <w:szCs w:val="24"/>
        </w:rPr>
        <w:t xml:space="preserve">perseverance and enrollment </w:t>
      </w:r>
      <w:r w:rsidR="00B95D92" w:rsidRPr="00AD36D9">
        <w:rPr>
          <w:rFonts w:ascii="Times New Roman" w:hAnsi="Times New Roman" w:cs="Times New Roman"/>
          <w:sz w:val="24"/>
          <w:szCs w:val="24"/>
        </w:rPr>
        <w:t xml:space="preserve">decision </w:t>
      </w:r>
      <w:r w:rsidR="00FB434D" w:rsidRPr="00AD36D9">
        <w:rPr>
          <w:rFonts w:ascii="Times New Roman" w:hAnsi="Times New Roman" w:cs="Times New Roman"/>
          <w:sz w:val="24"/>
          <w:szCs w:val="24"/>
        </w:rPr>
        <w:t xml:space="preserve">in a second year of high school physics. </w:t>
      </w:r>
      <w:r w:rsidR="00FA0A36">
        <w:rPr>
          <w:rFonts w:ascii="Times New Roman" w:hAnsi="Times New Roman" w:cs="Times New Roman"/>
          <w:sz w:val="24"/>
          <w:szCs w:val="24"/>
        </w:rPr>
        <w:t>Many students find first</w:t>
      </w:r>
      <w:r w:rsidR="008159B8">
        <w:rPr>
          <w:rFonts w:ascii="Times New Roman" w:hAnsi="Times New Roman" w:cs="Times New Roman"/>
          <w:sz w:val="24"/>
          <w:szCs w:val="24"/>
        </w:rPr>
        <w:t>-</w:t>
      </w:r>
      <w:r w:rsidR="00FA0A36">
        <w:rPr>
          <w:rFonts w:ascii="Times New Roman" w:hAnsi="Times New Roman" w:cs="Times New Roman"/>
          <w:sz w:val="24"/>
          <w:szCs w:val="24"/>
        </w:rPr>
        <w:t>year physics a very challenging course</w:t>
      </w:r>
      <w:r w:rsidR="007354AC">
        <w:rPr>
          <w:rFonts w:ascii="Times New Roman" w:hAnsi="Times New Roman" w:cs="Times New Roman"/>
          <w:sz w:val="24"/>
          <w:szCs w:val="24"/>
        </w:rPr>
        <w:t>,</w:t>
      </w:r>
      <w:r w:rsidR="00FA0A36">
        <w:rPr>
          <w:rFonts w:ascii="Times New Roman" w:hAnsi="Times New Roman" w:cs="Times New Roman"/>
          <w:sz w:val="24"/>
          <w:szCs w:val="24"/>
        </w:rPr>
        <w:t xml:space="preserve"> and for some</w:t>
      </w:r>
      <w:r w:rsidR="007354AC">
        <w:rPr>
          <w:rFonts w:ascii="Times New Roman" w:hAnsi="Times New Roman" w:cs="Times New Roman"/>
          <w:sz w:val="24"/>
          <w:szCs w:val="24"/>
        </w:rPr>
        <w:t>,</w:t>
      </w:r>
      <w:r w:rsidR="00FA0A36">
        <w:rPr>
          <w:rFonts w:ascii="Times New Roman" w:hAnsi="Times New Roman" w:cs="Times New Roman"/>
          <w:sz w:val="24"/>
          <w:szCs w:val="24"/>
        </w:rPr>
        <w:t xml:space="preserve"> </w:t>
      </w:r>
      <w:r w:rsidR="00A6381F">
        <w:rPr>
          <w:rFonts w:ascii="Times New Roman" w:hAnsi="Times New Roman" w:cs="Times New Roman"/>
          <w:sz w:val="24"/>
          <w:szCs w:val="24"/>
        </w:rPr>
        <w:t xml:space="preserve">first-year physics is </w:t>
      </w:r>
      <w:r w:rsidR="00FA0A36">
        <w:rPr>
          <w:rFonts w:ascii="Times New Roman" w:hAnsi="Times New Roman" w:cs="Times New Roman"/>
          <w:sz w:val="24"/>
          <w:szCs w:val="24"/>
        </w:rPr>
        <w:t xml:space="preserve">their first </w:t>
      </w:r>
      <w:r w:rsidR="007354AC">
        <w:rPr>
          <w:rFonts w:ascii="Times New Roman" w:hAnsi="Times New Roman" w:cs="Times New Roman"/>
          <w:sz w:val="24"/>
          <w:szCs w:val="24"/>
        </w:rPr>
        <w:t xml:space="preserve">demanding </w:t>
      </w:r>
      <w:r w:rsidR="00FA0A36">
        <w:rPr>
          <w:rFonts w:ascii="Times New Roman" w:hAnsi="Times New Roman" w:cs="Times New Roman"/>
          <w:sz w:val="24"/>
          <w:szCs w:val="24"/>
        </w:rPr>
        <w:t xml:space="preserve">science course. Interest in the topic alone is not enough to choose to take a second year of high school physics. Students who continue </w:t>
      </w:r>
      <w:r w:rsidR="00BE2BB6">
        <w:rPr>
          <w:rFonts w:ascii="Times New Roman" w:hAnsi="Times New Roman" w:cs="Times New Roman"/>
          <w:sz w:val="24"/>
          <w:szCs w:val="24"/>
        </w:rPr>
        <w:t>despite</w:t>
      </w:r>
      <w:r w:rsidR="00FA0A36">
        <w:rPr>
          <w:rFonts w:ascii="Times New Roman" w:hAnsi="Times New Roman" w:cs="Times New Roman"/>
          <w:sz w:val="24"/>
          <w:szCs w:val="24"/>
        </w:rPr>
        <w:t xml:space="preserve"> the challenges display perseveranc</w:t>
      </w:r>
      <w:r w:rsidR="00EC3D47">
        <w:rPr>
          <w:rFonts w:ascii="Times New Roman" w:hAnsi="Times New Roman" w:cs="Times New Roman"/>
          <w:sz w:val="24"/>
          <w:szCs w:val="24"/>
        </w:rPr>
        <w:t xml:space="preserve">e. </w:t>
      </w:r>
      <w:r w:rsidR="00BE2BB6">
        <w:rPr>
          <w:rFonts w:ascii="Times New Roman" w:hAnsi="Times New Roman" w:cs="Times New Roman"/>
          <w:sz w:val="24"/>
          <w:szCs w:val="24"/>
        </w:rPr>
        <w:t>W</w:t>
      </w:r>
      <w:r w:rsidR="00FA6C7D">
        <w:rPr>
          <w:rFonts w:ascii="Times New Roman" w:hAnsi="Times New Roman" w:cs="Times New Roman"/>
          <w:sz w:val="24"/>
          <w:szCs w:val="24"/>
        </w:rPr>
        <w:t>omen</w:t>
      </w:r>
      <w:r w:rsidR="00981691">
        <w:rPr>
          <w:rFonts w:ascii="Times New Roman" w:hAnsi="Times New Roman" w:cs="Times New Roman"/>
          <w:sz w:val="24"/>
          <w:szCs w:val="24"/>
        </w:rPr>
        <w:t>’</w:t>
      </w:r>
      <w:r w:rsidR="00FA6C7D">
        <w:rPr>
          <w:rFonts w:ascii="Times New Roman" w:hAnsi="Times New Roman" w:cs="Times New Roman"/>
          <w:sz w:val="24"/>
          <w:szCs w:val="24"/>
        </w:rPr>
        <w:t>s perseverance must not only address the challenging topic of physics</w:t>
      </w:r>
      <w:r w:rsidR="00BE2BB6">
        <w:rPr>
          <w:rFonts w:ascii="Times New Roman" w:hAnsi="Times New Roman" w:cs="Times New Roman"/>
          <w:sz w:val="24"/>
          <w:szCs w:val="24"/>
        </w:rPr>
        <w:t>,</w:t>
      </w:r>
      <w:r w:rsidR="00FA6C7D">
        <w:rPr>
          <w:rFonts w:ascii="Times New Roman" w:hAnsi="Times New Roman" w:cs="Times New Roman"/>
          <w:sz w:val="24"/>
          <w:szCs w:val="24"/>
        </w:rPr>
        <w:t xml:space="preserve"> but they must also overcome their own sense of science identity. Men are more comfortable identifying themselves as scientific than women </w:t>
      </w:r>
      <w:r w:rsidR="00981691">
        <w:rPr>
          <w:rFonts w:ascii="Times New Roman" w:hAnsi="Times New Roman" w:cs="Times New Roman"/>
          <w:sz w:val="24"/>
          <w:szCs w:val="24"/>
        </w:rPr>
        <w:lastRenderedPageBreak/>
        <w:t xml:space="preserve">are </w:t>
      </w:r>
      <w:r w:rsidR="00FA6C7D">
        <w:rPr>
          <w:rFonts w:ascii="Times New Roman" w:hAnsi="Times New Roman" w:cs="Times New Roman"/>
          <w:sz w:val="24"/>
          <w:szCs w:val="24"/>
        </w:rPr>
        <w:t>(Zhao, 2021). The level of scientific identity is critical to persistence in STEM majors</w:t>
      </w:r>
      <w:r w:rsidR="000F458E">
        <w:rPr>
          <w:rFonts w:ascii="Times New Roman" w:hAnsi="Times New Roman" w:cs="Times New Roman"/>
          <w:sz w:val="24"/>
          <w:szCs w:val="24"/>
        </w:rPr>
        <w:t xml:space="preserve">. </w:t>
      </w:r>
      <w:r w:rsidR="00FA6C7D">
        <w:rPr>
          <w:rFonts w:ascii="Times New Roman" w:hAnsi="Times New Roman" w:cs="Times New Roman"/>
          <w:sz w:val="24"/>
          <w:szCs w:val="24"/>
        </w:rPr>
        <w:t>Women who have a higher level of scientific identity are more likely to persist in STEM fields (Zhao, 2021).</w:t>
      </w:r>
      <w:r w:rsidR="00C31CD5">
        <w:rPr>
          <w:rFonts w:ascii="Times New Roman" w:hAnsi="Times New Roman" w:cs="Times New Roman"/>
          <w:sz w:val="24"/>
          <w:szCs w:val="24"/>
        </w:rPr>
        <w:t xml:space="preserve"> If women do not identify themselves as scientific or strong physics students, then social cognitive theory indicates that </w:t>
      </w:r>
      <w:r w:rsidR="00E0481C">
        <w:rPr>
          <w:rFonts w:ascii="Times New Roman" w:hAnsi="Times New Roman" w:cs="Times New Roman"/>
          <w:sz w:val="24"/>
          <w:szCs w:val="24"/>
        </w:rPr>
        <w:t>additional coping</w:t>
      </w:r>
      <w:r w:rsidR="00C31CD5">
        <w:rPr>
          <w:rFonts w:ascii="Times New Roman" w:hAnsi="Times New Roman" w:cs="Times New Roman"/>
          <w:sz w:val="24"/>
          <w:szCs w:val="24"/>
        </w:rPr>
        <w:t xml:space="preserve"> effort will not be employed. </w:t>
      </w:r>
    </w:p>
    <w:p w14:paraId="38B8C3F1" w14:textId="4642F330" w:rsidR="004B5398" w:rsidRPr="00AD36D9" w:rsidRDefault="004B5398" w:rsidP="00BA4A2D">
      <w:pPr>
        <w:pStyle w:val="Heading2"/>
        <w:rPr>
          <w:rFonts w:eastAsia="Times New Roman"/>
          <w:lang w:val="en-GB" w:eastAsia="en-GB"/>
        </w:rPr>
      </w:pPr>
      <w:bookmarkStart w:id="4" w:name="_Toc117501907"/>
      <w:r w:rsidRPr="00AD36D9">
        <w:rPr>
          <w:rFonts w:eastAsia="Times New Roman"/>
          <w:lang w:val="en-GB" w:eastAsia="en-GB"/>
        </w:rPr>
        <w:t>Researcher’s Positionality</w:t>
      </w:r>
      <w:bookmarkEnd w:id="4"/>
    </w:p>
    <w:p w14:paraId="2341CEB2" w14:textId="235F5F00" w:rsidR="004B5398" w:rsidRPr="00AD36D9" w:rsidRDefault="004B5398" w:rsidP="00BA4A2D">
      <w:pPr>
        <w:widowControl w:val="0"/>
        <w:spacing w:after="0" w:line="480" w:lineRule="auto"/>
        <w:ind w:firstLine="720"/>
        <w:rPr>
          <w:rFonts w:ascii="Times New Roman" w:eastAsia="Times New Roman" w:hAnsi="Times New Roman" w:cs="Times New Roman"/>
          <w:sz w:val="24"/>
          <w:szCs w:val="24"/>
          <w:lang w:val="en-GB" w:eastAsia="en-GB"/>
        </w:rPr>
      </w:pPr>
      <w:r w:rsidRPr="00AD36D9">
        <w:rPr>
          <w:rFonts w:ascii="Times New Roman" w:eastAsia="Times New Roman" w:hAnsi="Times New Roman" w:cs="Times New Roman"/>
          <w:sz w:val="24"/>
          <w:szCs w:val="24"/>
          <w:lang w:val="en-GB" w:eastAsia="en-GB"/>
        </w:rPr>
        <w:t xml:space="preserve">The researcher is a career high school physics educator with </w:t>
      </w:r>
      <w:r w:rsidR="00191230">
        <w:rPr>
          <w:rFonts w:ascii="Times New Roman" w:eastAsia="Times New Roman" w:hAnsi="Times New Roman" w:cs="Times New Roman"/>
          <w:sz w:val="24"/>
          <w:szCs w:val="24"/>
          <w:lang w:val="en-GB" w:eastAsia="en-GB"/>
        </w:rPr>
        <w:t>22</w:t>
      </w:r>
      <w:r w:rsidR="00191230" w:rsidRPr="00AD36D9">
        <w:rPr>
          <w:rFonts w:ascii="Times New Roman" w:eastAsia="Times New Roman" w:hAnsi="Times New Roman" w:cs="Times New Roman"/>
          <w:sz w:val="24"/>
          <w:szCs w:val="24"/>
          <w:lang w:val="en-GB" w:eastAsia="en-GB"/>
        </w:rPr>
        <w:t xml:space="preserve"> </w:t>
      </w:r>
      <w:r w:rsidRPr="00AD36D9">
        <w:rPr>
          <w:rFonts w:ascii="Times New Roman" w:eastAsia="Times New Roman" w:hAnsi="Times New Roman" w:cs="Times New Roman"/>
          <w:sz w:val="24"/>
          <w:szCs w:val="24"/>
          <w:lang w:val="en-GB" w:eastAsia="en-GB"/>
        </w:rPr>
        <w:t>years of experience in the classroom</w:t>
      </w:r>
      <w:r w:rsidR="00736F31" w:rsidRPr="00AD36D9">
        <w:rPr>
          <w:rFonts w:ascii="Times New Roman" w:eastAsia="Times New Roman" w:hAnsi="Times New Roman" w:cs="Times New Roman"/>
          <w:sz w:val="24"/>
          <w:szCs w:val="24"/>
          <w:lang w:val="en-GB" w:eastAsia="en-GB"/>
        </w:rPr>
        <w:t xml:space="preserve">. </w:t>
      </w:r>
      <w:r w:rsidRPr="00AD36D9">
        <w:rPr>
          <w:rFonts w:ascii="Times New Roman" w:eastAsia="Times New Roman" w:hAnsi="Times New Roman" w:cs="Times New Roman"/>
          <w:sz w:val="24"/>
          <w:szCs w:val="24"/>
          <w:lang w:val="en-GB" w:eastAsia="en-GB"/>
        </w:rPr>
        <w:t xml:space="preserve">This teaching experience includes the teaching of physics to all ages of high school students from freshmen to seniors and all levels from physical science to </w:t>
      </w:r>
      <w:r w:rsidR="00BE2BB6">
        <w:rPr>
          <w:rFonts w:ascii="Times New Roman" w:eastAsia="Times New Roman" w:hAnsi="Times New Roman" w:cs="Times New Roman"/>
          <w:sz w:val="24"/>
          <w:szCs w:val="24"/>
          <w:lang w:val="en-GB" w:eastAsia="en-GB"/>
        </w:rPr>
        <w:t>AP</w:t>
      </w:r>
      <w:r w:rsidRPr="00AD36D9">
        <w:rPr>
          <w:rFonts w:ascii="Times New Roman" w:eastAsia="Times New Roman" w:hAnsi="Times New Roman" w:cs="Times New Roman"/>
          <w:sz w:val="24"/>
          <w:szCs w:val="24"/>
          <w:lang w:val="en-GB" w:eastAsia="en-GB"/>
        </w:rPr>
        <w:t xml:space="preserve"> calculus</w:t>
      </w:r>
      <w:r w:rsidR="005E39A8" w:rsidRPr="00AD36D9">
        <w:rPr>
          <w:rFonts w:ascii="Times New Roman" w:eastAsia="Times New Roman" w:hAnsi="Times New Roman" w:cs="Times New Roman"/>
          <w:sz w:val="24"/>
          <w:szCs w:val="24"/>
          <w:lang w:val="en-GB" w:eastAsia="en-GB"/>
        </w:rPr>
        <w:t>-</w:t>
      </w:r>
      <w:r w:rsidRPr="00AD36D9">
        <w:rPr>
          <w:rFonts w:ascii="Times New Roman" w:eastAsia="Times New Roman" w:hAnsi="Times New Roman" w:cs="Times New Roman"/>
          <w:sz w:val="24"/>
          <w:szCs w:val="24"/>
          <w:lang w:val="en-GB" w:eastAsia="en-GB"/>
        </w:rPr>
        <w:t xml:space="preserve">based college level physics. It is from these experiences that the </w:t>
      </w:r>
      <w:r w:rsidR="00736F31" w:rsidRPr="00AD36D9">
        <w:rPr>
          <w:rFonts w:ascii="Times New Roman" w:eastAsia="Times New Roman" w:hAnsi="Times New Roman" w:cs="Times New Roman"/>
          <w:sz w:val="24"/>
          <w:szCs w:val="24"/>
          <w:lang w:val="en-GB" w:eastAsia="en-GB"/>
        </w:rPr>
        <w:t>enrollment</w:t>
      </w:r>
      <w:r w:rsidRPr="00AD36D9">
        <w:rPr>
          <w:rFonts w:ascii="Times New Roman" w:eastAsia="Times New Roman" w:hAnsi="Times New Roman" w:cs="Times New Roman"/>
          <w:sz w:val="24"/>
          <w:szCs w:val="24"/>
          <w:lang w:val="en-GB" w:eastAsia="en-GB"/>
        </w:rPr>
        <w:t xml:space="preserve"> patterns of </w:t>
      </w:r>
      <w:r w:rsidR="00616687" w:rsidRPr="00AD36D9">
        <w:rPr>
          <w:rFonts w:ascii="Times New Roman" w:eastAsia="Times New Roman" w:hAnsi="Times New Roman" w:cs="Times New Roman"/>
          <w:sz w:val="24"/>
          <w:szCs w:val="24"/>
          <w:lang w:val="en-GB" w:eastAsia="en-GB"/>
        </w:rPr>
        <w:t>women</w:t>
      </w:r>
      <w:r w:rsidRPr="00AD36D9">
        <w:rPr>
          <w:rFonts w:ascii="Times New Roman" w:eastAsia="Times New Roman" w:hAnsi="Times New Roman" w:cs="Times New Roman"/>
          <w:sz w:val="24"/>
          <w:szCs w:val="24"/>
          <w:lang w:val="en-GB" w:eastAsia="en-GB"/>
        </w:rPr>
        <w:t xml:space="preserve"> have become evident in upper</w:t>
      </w:r>
      <w:r w:rsidR="005E39A8" w:rsidRPr="00AD36D9">
        <w:rPr>
          <w:rFonts w:ascii="Times New Roman" w:eastAsia="Times New Roman" w:hAnsi="Times New Roman" w:cs="Times New Roman"/>
          <w:sz w:val="24"/>
          <w:szCs w:val="24"/>
          <w:lang w:val="en-GB" w:eastAsia="en-GB"/>
        </w:rPr>
        <w:t>-</w:t>
      </w:r>
      <w:r w:rsidRPr="00AD36D9">
        <w:rPr>
          <w:rFonts w:ascii="Times New Roman" w:eastAsia="Times New Roman" w:hAnsi="Times New Roman" w:cs="Times New Roman"/>
          <w:sz w:val="24"/>
          <w:szCs w:val="24"/>
          <w:lang w:val="en-GB" w:eastAsia="en-GB"/>
        </w:rPr>
        <w:t>level physics courses</w:t>
      </w:r>
      <w:r w:rsidR="00736F31" w:rsidRPr="00AD36D9">
        <w:rPr>
          <w:rFonts w:ascii="Times New Roman" w:eastAsia="Times New Roman" w:hAnsi="Times New Roman" w:cs="Times New Roman"/>
          <w:sz w:val="24"/>
          <w:szCs w:val="24"/>
          <w:lang w:val="en-GB" w:eastAsia="en-GB"/>
        </w:rPr>
        <w:t xml:space="preserve">. </w:t>
      </w:r>
    </w:p>
    <w:p w14:paraId="14707340" w14:textId="2FF4D0DD" w:rsidR="00250971" w:rsidRPr="00AD36D9" w:rsidRDefault="00965D9B" w:rsidP="00BA4A2D">
      <w:pPr>
        <w:widowControl w:val="0"/>
        <w:spacing w:after="0" w:line="480" w:lineRule="auto"/>
        <w:ind w:firstLine="720"/>
        <w:rPr>
          <w:rFonts w:ascii="Times New Roman" w:eastAsia="Times New Roman" w:hAnsi="Times New Roman" w:cs="Times New Roman"/>
          <w:sz w:val="24"/>
          <w:szCs w:val="24"/>
          <w:lang w:val="en-GB" w:eastAsia="en-GB"/>
        </w:rPr>
      </w:pPr>
      <w:r w:rsidRPr="00AD36D9">
        <w:rPr>
          <w:rFonts w:ascii="Times New Roman" w:eastAsia="Times New Roman" w:hAnsi="Times New Roman" w:cs="Times New Roman"/>
          <w:sz w:val="24"/>
          <w:szCs w:val="24"/>
          <w:lang w:val="en-GB" w:eastAsia="en-GB"/>
        </w:rPr>
        <w:t xml:space="preserve">Addressing the decreased representation of women in second year high school physics has personal significance to the researcher. The lens through which this study </w:t>
      </w:r>
      <w:r w:rsidR="00191230">
        <w:rPr>
          <w:rFonts w:ascii="Times New Roman" w:eastAsia="Times New Roman" w:hAnsi="Times New Roman" w:cs="Times New Roman"/>
          <w:sz w:val="24"/>
          <w:szCs w:val="24"/>
          <w:lang w:val="en-GB" w:eastAsia="en-GB"/>
        </w:rPr>
        <w:t>was</w:t>
      </w:r>
      <w:r w:rsidRPr="00AD36D9">
        <w:rPr>
          <w:rFonts w:ascii="Times New Roman" w:eastAsia="Times New Roman" w:hAnsi="Times New Roman" w:cs="Times New Roman"/>
          <w:sz w:val="24"/>
          <w:szCs w:val="24"/>
          <w:lang w:val="en-GB" w:eastAsia="en-GB"/>
        </w:rPr>
        <w:t xml:space="preserve"> conducted and analysed include</w:t>
      </w:r>
      <w:r w:rsidR="00043E3E">
        <w:rPr>
          <w:rFonts w:ascii="Times New Roman" w:eastAsia="Times New Roman" w:hAnsi="Times New Roman" w:cs="Times New Roman"/>
          <w:sz w:val="24"/>
          <w:szCs w:val="24"/>
          <w:lang w:val="en-GB" w:eastAsia="en-GB"/>
        </w:rPr>
        <w:t>d</w:t>
      </w:r>
      <w:r w:rsidRPr="00AD36D9">
        <w:rPr>
          <w:rFonts w:ascii="Times New Roman" w:eastAsia="Times New Roman" w:hAnsi="Times New Roman" w:cs="Times New Roman"/>
          <w:sz w:val="24"/>
          <w:szCs w:val="24"/>
          <w:lang w:val="en-GB" w:eastAsia="en-GB"/>
        </w:rPr>
        <w:t xml:space="preserve"> personal experiences of access to advanced physics courses and a desire to give access to as many future students as possible. This researcher’s access to advanced high school physics </w:t>
      </w:r>
      <w:r w:rsidR="006D516E" w:rsidRPr="00AD36D9">
        <w:rPr>
          <w:rFonts w:ascii="Times New Roman" w:eastAsia="Times New Roman" w:hAnsi="Times New Roman" w:cs="Times New Roman"/>
          <w:sz w:val="24"/>
          <w:szCs w:val="24"/>
          <w:lang w:val="en-GB" w:eastAsia="en-GB"/>
        </w:rPr>
        <w:t>was</w:t>
      </w:r>
      <w:r w:rsidRPr="00AD36D9">
        <w:rPr>
          <w:rFonts w:ascii="Times New Roman" w:eastAsia="Times New Roman" w:hAnsi="Times New Roman" w:cs="Times New Roman"/>
          <w:sz w:val="24"/>
          <w:szCs w:val="24"/>
          <w:lang w:val="en-GB" w:eastAsia="en-GB"/>
        </w:rPr>
        <w:t xml:space="preserve"> impacted by </w:t>
      </w:r>
      <w:r w:rsidR="00DB5D68">
        <w:rPr>
          <w:rFonts w:ascii="Times New Roman" w:eastAsia="Times New Roman" w:hAnsi="Times New Roman" w:cs="Times New Roman"/>
          <w:sz w:val="24"/>
          <w:szCs w:val="24"/>
          <w:lang w:val="en-GB" w:eastAsia="en-GB"/>
        </w:rPr>
        <w:t>the researchers’</w:t>
      </w:r>
      <w:r w:rsidR="00DB5D68" w:rsidRPr="00AD36D9">
        <w:rPr>
          <w:rFonts w:ascii="Times New Roman" w:eastAsia="Times New Roman" w:hAnsi="Times New Roman" w:cs="Times New Roman"/>
          <w:sz w:val="24"/>
          <w:szCs w:val="24"/>
          <w:lang w:val="en-GB" w:eastAsia="en-GB"/>
        </w:rPr>
        <w:t xml:space="preserve"> </w:t>
      </w:r>
      <w:r w:rsidRPr="00AD36D9">
        <w:rPr>
          <w:rFonts w:ascii="Times New Roman" w:eastAsia="Times New Roman" w:hAnsi="Times New Roman" w:cs="Times New Roman"/>
          <w:sz w:val="24"/>
          <w:szCs w:val="24"/>
          <w:lang w:val="en-GB" w:eastAsia="en-GB"/>
        </w:rPr>
        <w:t>race, socio-economic status, and environment</w:t>
      </w:r>
      <w:r w:rsidR="004E7F27" w:rsidRPr="00AD36D9">
        <w:rPr>
          <w:rFonts w:ascii="Times New Roman" w:eastAsia="Times New Roman" w:hAnsi="Times New Roman" w:cs="Times New Roman"/>
          <w:sz w:val="24"/>
          <w:szCs w:val="24"/>
          <w:lang w:val="en-GB" w:eastAsia="en-GB"/>
        </w:rPr>
        <w:t>.</w:t>
      </w:r>
      <w:r w:rsidRPr="00AD36D9">
        <w:rPr>
          <w:rFonts w:ascii="Times New Roman" w:eastAsia="Times New Roman" w:hAnsi="Times New Roman" w:cs="Times New Roman"/>
          <w:sz w:val="24"/>
          <w:szCs w:val="24"/>
          <w:lang w:val="en-GB" w:eastAsia="en-GB"/>
        </w:rPr>
        <w:t xml:space="preserve"> Access was easier considering </w:t>
      </w:r>
      <w:r w:rsidR="00C53999">
        <w:rPr>
          <w:rFonts w:ascii="Times New Roman" w:eastAsia="Times New Roman" w:hAnsi="Times New Roman" w:cs="Times New Roman"/>
          <w:sz w:val="24"/>
          <w:szCs w:val="24"/>
          <w:lang w:val="en-GB" w:eastAsia="en-GB"/>
        </w:rPr>
        <w:t>the researcher</w:t>
      </w:r>
      <w:r w:rsidR="00C53999" w:rsidRPr="00AD36D9">
        <w:rPr>
          <w:rFonts w:ascii="Times New Roman" w:eastAsia="Times New Roman" w:hAnsi="Times New Roman" w:cs="Times New Roman"/>
          <w:sz w:val="24"/>
          <w:szCs w:val="24"/>
          <w:lang w:val="en-GB" w:eastAsia="en-GB"/>
        </w:rPr>
        <w:t xml:space="preserve"> </w:t>
      </w:r>
      <w:r w:rsidRPr="00AD36D9">
        <w:rPr>
          <w:rFonts w:ascii="Times New Roman" w:eastAsia="Times New Roman" w:hAnsi="Times New Roman" w:cs="Times New Roman"/>
          <w:sz w:val="24"/>
          <w:szCs w:val="24"/>
          <w:lang w:val="en-GB" w:eastAsia="en-GB"/>
        </w:rPr>
        <w:t xml:space="preserve">is a </w:t>
      </w:r>
      <w:r w:rsidR="00DB5D68" w:rsidRPr="00AD36D9">
        <w:rPr>
          <w:rFonts w:ascii="Times New Roman" w:eastAsia="Times New Roman" w:hAnsi="Times New Roman" w:cs="Times New Roman"/>
          <w:sz w:val="24"/>
          <w:szCs w:val="24"/>
          <w:lang w:val="en-GB" w:eastAsia="en-GB"/>
        </w:rPr>
        <w:t>middle-class</w:t>
      </w:r>
      <w:r w:rsidR="004E7F27" w:rsidRPr="00AD36D9">
        <w:rPr>
          <w:rFonts w:ascii="Times New Roman" w:eastAsia="Times New Roman" w:hAnsi="Times New Roman" w:cs="Times New Roman"/>
          <w:sz w:val="24"/>
          <w:szCs w:val="24"/>
          <w:lang w:val="en-GB" w:eastAsia="en-GB"/>
        </w:rPr>
        <w:t xml:space="preserve"> </w:t>
      </w:r>
      <w:r w:rsidR="00DB5D68">
        <w:rPr>
          <w:rFonts w:ascii="Times New Roman" w:eastAsia="Times New Roman" w:hAnsi="Times New Roman" w:cs="Times New Roman"/>
          <w:sz w:val="24"/>
          <w:szCs w:val="24"/>
          <w:lang w:val="en-GB" w:eastAsia="en-GB"/>
        </w:rPr>
        <w:t>W</w:t>
      </w:r>
      <w:r w:rsidR="00667466" w:rsidRPr="00AD36D9">
        <w:rPr>
          <w:rFonts w:ascii="Times New Roman" w:eastAsia="Times New Roman" w:hAnsi="Times New Roman" w:cs="Times New Roman"/>
          <w:sz w:val="24"/>
          <w:szCs w:val="24"/>
          <w:lang w:val="en-GB" w:eastAsia="en-GB"/>
        </w:rPr>
        <w:t xml:space="preserve">hite </w:t>
      </w:r>
      <w:r w:rsidR="00667466">
        <w:rPr>
          <w:rFonts w:ascii="Times New Roman" w:eastAsia="Times New Roman" w:hAnsi="Times New Roman" w:cs="Times New Roman"/>
          <w:sz w:val="24"/>
          <w:szCs w:val="24"/>
          <w:lang w:val="en-GB" w:eastAsia="en-GB"/>
        </w:rPr>
        <w:t xml:space="preserve">male </w:t>
      </w:r>
      <w:r w:rsidRPr="00AD36D9">
        <w:rPr>
          <w:rFonts w:ascii="Times New Roman" w:eastAsia="Times New Roman" w:hAnsi="Times New Roman" w:cs="Times New Roman"/>
          <w:sz w:val="24"/>
          <w:szCs w:val="24"/>
          <w:lang w:val="en-GB" w:eastAsia="en-GB"/>
        </w:rPr>
        <w:t>with strong encouragement of the importan</w:t>
      </w:r>
      <w:r w:rsidR="004E7F27" w:rsidRPr="00AD36D9">
        <w:rPr>
          <w:rFonts w:ascii="Times New Roman" w:eastAsia="Times New Roman" w:hAnsi="Times New Roman" w:cs="Times New Roman"/>
          <w:sz w:val="24"/>
          <w:szCs w:val="24"/>
          <w:lang w:val="en-GB" w:eastAsia="en-GB"/>
        </w:rPr>
        <w:t>ce of math and science at home.</w:t>
      </w:r>
      <w:r w:rsidRPr="00AD36D9">
        <w:rPr>
          <w:rFonts w:ascii="Times New Roman" w:eastAsia="Times New Roman" w:hAnsi="Times New Roman" w:cs="Times New Roman"/>
          <w:sz w:val="24"/>
          <w:szCs w:val="24"/>
          <w:lang w:val="en-GB" w:eastAsia="en-GB"/>
        </w:rPr>
        <w:t xml:space="preserve"> However, these experiences can </w:t>
      </w:r>
      <w:r w:rsidR="003B72BE" w:rsidRPr="00AD36D9">
        <w:rPr>
          <w:rFonts w:ascii="Times New Roman" w:eastAsia="Times New Roman" w:hAnsi="Times New Roman" w:cs="Times New Roman"/>
          <w:sz w:val="24"/>
          <w:szCs w:val="24"/>
          <w:lang w:val="en-GB" w:eastAsia="en-GB"/>
        </w:rPr>
        <w:t xml:space="preserve">narrow one’s </w:t>
      </w:r>
      <w:r w:rsidR="001E1721">
        <w:rPr>
          <w:rFonts w:ascii="Times New Roman" w:eastAsia="Times New Roman" w:hAnsi="Times New Roman" w:cs="Times New Roman"/>
          <w:sz w:val="24"/>
          <w:szCs w:val="24"/>
          <w:lang w:val="en-GB" w:eastAsia="en-GB"/>
        </w:rPr>
        <w:t>perspective</w:t>
      </w:r>
      <w:r w:rsidR="001E1721" w:rsidRPr="00AD36D9">
        <w:rPr>
          <w:rFonts w:ascii="Times New Roman" w:eastAsia="Times New Roman" w:hAnsi="Times New Roman" w:cs="Times New Roman"/>
          <w:sz w:val="24"/>
          <w:szCs w:val="24"/>
          <w:lang w:val="en-GB" w:eastAsia="en-GB"/>
        </w:rPr>
        <w:t xml:space="preserve"> </w:t>
      </w:r>
      <w:r w:rsidR="003B72BE" w:rsidRPr="00AD36D9">
        <w:rPr>
          <w:rFonts w:ascii="Times New Roman" w:eastAsia="Times New Roman" w:hAnsi="Times New Roman" w:cs="Times New Roman"/>
          <w:sz w:val="24"/>
          <w:szCs w:val="24"/>
          <w:lang w:val="en-GB" w:eastAsia="en-GB"/>
        </w:rPr>
        <w:t>on the difficulty of others trying to gain similar access to advanced high school physics. Of particular importance are role models in the decision</w:t>
      </w:r>
      <w:r w:rsidR="00B53045" w:rsidRPr="00AD36D9">
        <w:rPr>
          <w:rFonts w:ascii="Times New Roman" w:eastAsia="Times New Roman" w:hAnsi="Times New Roman" w:cs="Times New Roman"/>
          <w:sz w:val="24"/>
          <w:szCs w:val="24"/>
          <w:lang w:val="en-GB" w:eastAsia="en-GB"/>
        </w:rPr>
        <w:t>-</w:t>
      </w:r>
      <w:r w:rsidR="003B72BE" w:rsidRPr="00AD36D9">
        <w:rPr>
          <w:rFonts w:ascii="Times New Roman" w:eastAsia="Times New Roman" w:hAnsi="Times New Roman" w:cs="Times New Roman"/>
          <w:sz w:val="24"/>
          <w:szCs w:val="24"/>
          <w:lang w:val="en-GB" w:eastAsia="en-GB"/>
        </w:rPr>
        <w:t>making process. The researcher’s father</w:t>
      </w:r>
      <w:r w:rsidR="004E7F27" w:rsidRPr="00AD36D9">
        <w:rPr>
          <w:rFonts w:ascii="Times New Roman" w:eastAsia="Times New Roman" w:hAnsi="Times New Roman" w:cs="Times New Roman"/>
          <w:sz w:val="24"/>
          <w:szCs w:val="24"/>
          <w:lang w:val="en-GB" w:eastAsia="en-GB"/>
        </w:rPr>
        <w:t xml:space="preserve">, an electrical engineer, as well as </w:t>
      </w:r>
      <w:r w:rsidR="00C53999">
        <w:rPr>
          <w:rFonts w:ascii="Times New Roman" w:eastAsia="Times New Roman" w:hAnsi="Times New Roman" w:cs="Times New Roman"/>
          <w:sz w:val="24"/>
          <w:szCs w:val="24"/>
          <w:lang w:val="en-GB" w:eastAsia="en-GB"/>
        </w:rPr>
        <w:t>a</w:t>
      </w:r>
      <w:r w:rsidR="00C53999" w:rsidRPr="00AD36D9">
        <w:rPr>
          <w:rFonts w:ascii="Times New Roman" w:eastAsia="Times New Roman" w:hAnsi="Times New Roman" w:cs="Times New Roman"/>
          <w:sz w:val="24"/>
          <w:szCs w:val="24"/>
          <w:lang w:val="en-GB" w:eastAsia="en-GB"/>
        </w:rPr>
        <w:t xml:space="preserve"> </w:t>
      </w:r>
      <w:r w:rsidR="004E7F27" w:rsidRPr="00AD36D9">
        <w:rPr>
          <w:rFonts w:ascii="Times New Roman" w:eastAsia="Times New Roman" w:hAnsi="Times New Roman" w:cs="Times New Roman"/>
          <w:sz w:val="24"/>
          <w:szCs w:val="24"/>
          <w:lang w:val="en-GB" w:eastAsia="en-GB"/>
        </w:rPr>
        <w:t xml:space="preserve">personal </w:t>
      </w:r>
      <w:r w:rsidR="003B72BE" w:rsidRPr="00AD36D9">
        <w:rPr>
          <w:rFonts w:ascii="Times New Roman" w:eastAsia="Times New Roman" w:hAnsi="Times New Roman" w:cs="Times New Roman"/>
          <w:sz w:val="24"/>
          <w:szCs w:val="24"/>
          <w:lang w:val="en-GB" w:eastAsia="en-GB"/>
        </w:rPr>
        <w:t xml:space="preserve">connection </w:t>
      </w:r>
      <w:r w:rsidR="00036FB8" w:rsidRPr="00AD36D9">
        <w:rPr>
          <w:rFonts w:ascii="Times New Roman" w:eastAsia="Times New Roman" w:hAnsi="Times New Roman" w:cs="Times New Roman"/>
          <w:sz w:val="24"/>
          <w:szCs w:val="24"/>
          <w:lang w:val="en-GB" w:eastAsia="en-GB"/>
        </w:rPr>
        <w:t>with</w:t>
      </w:r>
      <w:r w:rsidR="003B72BE" w:rsidRPr="00AD36D9">
        <w:rPr>
          <w:rFonts w:ascii="Times New Roman" w:eastAsia="Times New Roman" w:hAnsi="Times New Roman" w:cs="Times New Roman"/>
          <w:sz w:val="24"/>
          <w:szCs w:val="24"/>
          <w:lang w:val="en-GB" w:eastAsia="en-GB"/>
        </w:rPr>
        <w:t xml:space="preserve"> past physics instructors</w:t>
      </w:r>
      <w:r w:rsidR="00036FB8" w:rsidRPr="00AD36D9">
        <w:rPr>
          <w:rFonts w:ascii="Times New Roman" w:eastAsia="Times New Roman" w:hAnsi="Times New Roman" w:cs="Times New Roman"/>
          <w:sz w:val="24"/>
          <w:szCs w:val="24"/>
          <w:lang w:val="en-GB" w:eastAsia="en-GB"/>
        </w:rPr>
        <w:t>,</w:t>
      </w:r>
      <w:r w:rsidR="004E7F27" w:rsidRPr="00AD36D9">
        <w:rPr>
          <w:rFonts w:ascii="Times New Roman" w:eastAsia="Times New Roman" w:hAnsi="Times New Roman" w:cs="Times New Roman"/>
          <w:sz w:val="24"/>
          <w:szCs w:val="24"/>
          <w:lang w:val="en-GB" w:eastAsia="en-GB"/>
        </w:rPr>
        <w:t xml:space="preserve"> influence</w:t>
      </w:r>
      <w:r w:rsidR="00854617">
        <w:rPr>
          <w:rFonts w:ascii="Times New Roman" w:eastAsia="Times New Roman" w:hAnsi="Times New Roman" w:cs="Times New Roman"/>
          <w:sz w:val="24"/>
          <w:szCs w:val="24"/>
          <w:lang w:val="en-GB" w:eastAsia="en-GB"/>
        </w:rPr>
        <w:t>d</w:t>
      </w:r>
      <w:r w:rsidR="004E7F27" w:rsidRPr="00AD36D9">
        <w:rPr>
          <w:rFonts w:ascii="Times New Roman" w:eastAsia="Times New Roman" w:hAnsi="Times New Roman" w:cs="Times New Roman"/>
          <w:sz w:val="24"/>
          <w:szCs w:val="24"/>
          <w:lang w:val="en-GB" w:eastAsia="en-GB"/>
        </w:rPr>
        <w:t xml:space="preserve"> his perspective on pathways to access advanced physics. </w:t>
      </w:r>
      <w:r w:rsidR="003B72BE" w:rsidRPr="00AD36D9">
        <w:rPr>
          <w:rFonts w:ascii="Times New Roman" w:eastAsia="Times New Roman" w:hAnsi="Times New Roman" w:cs="Times New Roman"/>
          <w:sz w:val="24"/>
          <w:szCs w:val="24"/>
          <w:lang w:val="en-GB" w:eastAsia="en-GB"/>
        </w:rPr>
        <w:t xml:space="preserve">This experience is not necessarily typical of all those students who are enrolled in a </w:t>
      </w:r>
      <w:r w:rsidR="006A0DA7" w:rsidRPr="00AD36D9">
        <w:rPr>
          <w:rFonts w:ascii="Times New Roman" w:eastAsia="Times New Roman" w:hAnsi="Times New Roman" w:cs="Times New Roman"/>
          <w:sz w:val="24"/>
          <w:szCs w:val="24"/>
          <w:lang w:val="en-GB" w:eastAsia="en-GB"/>
        </w:rPr>
        <w:t xml:space="preserve">first-year </w:t>
      </w:r>
      <w:r w:rsidR="003B72BE" w:rsidRPr="00AD36D9">
        <w:rPr>
          <w:rFonts w:ascii="Times New Roman" w:eastAsia="Times New Roman" w:hAnsi="Times New Roman" w:cs="Times New Roman"/>
          <w:sz w:val="24"/>
          <w:szCs w:val="24"/>
          <w:lang w:val="en-GB" w:eastAsia="en-GB"/>
        </w:rPr>
        <w:t xml:space="preserve">physics course and faced with the decision on </w:t>
      </w:r>
      <w:r w:rsidR="00C53999" w:rsidRPr="00AD36D9">
        <w:rPr>
          <w:rFonts w:ascii="Times New Roman" w:eastAsia="Times New Roman" w:hAnsi="Times New Roman" w:cs="Times New Roman"/>
          <w:sz w:val="24"/>
          <w:szCs w:val="24"/>
          <w:lang w:val="en-GB" w:eastAsia="en-GB"/>
        </w:rPr>
        <w:t>whether</w:t>
      </w:r>
      <w:r w:rsidR="003B72BE" w:rsidRPr="00AD36D9">
        <w:rPr>
          <w:rFonts w:ascii="Times New Roman" w:eastAsia="Times New Roman" w:hAnsi="Times New Roman" w:cs="Times New Roman"/>
          <w:sz w:val="24"/>
          <w:szCs w:val="24"/>
          <w:lang w:val="en-GB" w:eastAsia="en-GB"/>
        </w:rPr>
        <w:t xml:space="preserve"> to continue down </w:t>
      </w:r>
      <w:r w:rsidR="00043E3E">
        <w:rPr>
          <w:rFonts w:ascii="Times New Roman" w:eastAsia="Times New Roman" w:hAnsi="Times New Roman" w:cs="Times New Roman"/>
          <w:sz w:val="24"/>
          <w:szCs w:val="24"/>
          <w:lang w:val="en-GB" w:eastAsia="en-GB"/>
        </w:rPr>
        <w:t>a STEM career pathway</w:t>
      </w:r>
      <w:r w:rsidR="003B72BE" w:rsidRPr="00AD36D9">
        <w:rPr>
          <w:rFonts w:ascii="Times New Roman" w:eastAsia="Times New Roman" w:hAnsi="Times New Roman" w:cs="Times New Roman"/>
          <w:sz w:val="24"/>
          <w:szCs w:val="24"/>
          <w:lang w:val="en-GB" w:eastAsia="en-GB"/>
        </w:rPr>
        <w:t xml:space="preserve">. </w:t>
      </w:r>
    </w:p>
    <w:p w14:paraId="47078D40" w14:textId="77777777" w:rsidR="004B5398" w:rsidRPr="00AD36D9" w:rsidRDefault="004B5398" w:rsidP="00BA4A2D">
      <w:pPr>
        <w:pStyle w:val="Heading2"/>
        <w:rPr>
          <w:rFonts w:eastAsia="Times New Roman"/>
          <w:lang w:val="en-GB" w:eastAsia="en-GB"/>
        </w:rPr>
      </w:pPr>
      <w:bookmarkStart w:id="5" w:name="_Toc117501908"/>
      <w:r w:rsidRPr="00AD36D9">
        <w:rPr>
          <w:rFonts w:eastAsia="Times New Roman"/>
          <w:lang w:val="en-GB" w:eastAsia="en-GB"/>
        </w:rPr>
        <w:lastRenderedPageBreak/>
        <w:t>Purpose of the Study</w:t>
      </w:r>
      <w:bookmarkEnd w:id="5"/>
    </w:p>
    <w:p w14:paraId="55F6D07F" w14:textId="53A131D4" w:rsidR="00C16177" w:rsidRDefault="004B5398" w:rsidP="00BA4A2D">
      <w:pPr>
        <w:widowControl w:val="0"/>
        <w:spacing w:after="0" w:line="480" w:lineRule="auto"/>
        <w:rPr>
          <w:rFonts w:ascii="Times New Roman" w:eastAsia="Times New Roman" w:hAnsi="Times New Roman" w:cs="Times New Roman"/>
          <w:sz w:val="24"/>
          <w:szCs w:val="24"/>
          <w:lang w:val="en-GB" w:eastAsia="en-GB"/>
        </w:rPr>
      </w:pPr>
      <w:r w:rsidRPr="00AD36D9">
        <w:rPr>
          <w:rFonts w:ascii="Times New Roman" w:eastAsia="Times New Roman" w:hAnsi="Times New Roman" w:cs="Times New Roman"/>
          <w:b/>
          <w:sz w:val="24"/>
          <w:szCs w:val="24"/>
          <w:lang w:val="en-GB" w:eastAsia="en-GB"/>
        </w:rPr>
        <w:tab/>
      </w:r>
      <w:r w:rsidRPr="00AD36D9">
        <w:rPr>
          <w:rFonts w:ascii="Times New Roman" w:hAnsi="Times New Roman" w:cs="Times New Roman"/>
          <w:sz w:val="24"/>
          <w:szCs w:val="24"/>
        </w:rPr>
        <w:t xml:space="preserve">The purpose of this study </w:t>
      </w:r>
      <w:r w:rsidR="00043E3E">
        <w:rPr>
          <w:rFonts w:ascii="Times New Roman" w:hAnsi="Times New Roman" w:cs="Times New Roman"/>
          <w:sz w:val="24"/>
          <w:szCs w:val="24"/>
        </w:rPr>
        <w:t>was</w:t>
      </w:r>
      <w:r w:rsidR="00043E3E"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to </w:t>
      </w:r>
      <w:r w:rsidR="002F6FF0">
        <w:rPr>
          <w:rFonts w:ascii="Times New Roman" w:hAnsi="Times New Roman" w:cs="Times New Roman"/>
          <w:sz w:val="24"/>
          <w:szCs w:val="24"/>
        </w:rPr>
        <w:t>examine</w:t>
      </w:r>
      <w:r w:rsidR="000D1CF0" w:rsidRPr="00AD36D9">
        <w:rPr>
          <w:rFonts w:ascii="Times New Roman" w:hAnsi="Times New Roman" w:cs="Times New Roman"/>
          <w:sz w:val="24"/>
          <w:szCs w:val="24"/>
        </w:rPr>
        <w:t xml:space="preserve"> </w:t>
      </w:r>
      <w:r w:rsidR="00073B31" w:rsidRPr="00AD36D9">
        <w:rPr>
          <w:rFonts w:ascii="Times New Roman" w:hAnsi="Times New Roman" w:cs="Times New Roman"/>
          <w:sz w:val="24"/>
          <w:szCs w:val="24"/>
        </w:rPr>
        <w:t xml:space="preserve">the role </w:t>
      </w:r>
      <w:r w:rsidR="00D83A94" w:rsidRPr="00AD36D9">
        <w:rPr>
          <w:rFonts w:ascii="Times New Roman" w:hAnsi="Times New Roman" w:cs="Times New Roman"/>
          <w:sz w:val="24"/>
          <w:szCs w:val="24"/>
        </w:rPr>
        <w:t xml:space="preserve">self-efficacy </w:t>
      </w:r>
      <w:r w:rsidR="00073B31" w:rsidRPr="00AD36D9">
        <w:rPr>
          <w:rFonts w:ascii="Times New Roman" w:hAnsi="Times New Roman" w:cs="Times New Roman"/>
          <w:sz w:val="24"/>
          <w:szCs w:val="24"/>
        </w:rPr>
        <w:t>play</w:t>
      </w:r>
      <w:r w:rsidR="00043E3E">
        <w:rPr>
          <w:rFonts w:ascii="Times New Roman" w:hAnsi="Times New Roman" w:cs="Times New Roman"/>
          <w:sz w:val="24"/>
          <w:szCs w:val="24"/>
        </w:rPr>
        <w:t>ed</w:t>
      </w:r>
      <w:r w:rsidR="00073B31" w:rsidRPr="00AD36D9">
        <w:rPr>
          <w:rFonts w:ascii="Times New Roman" w:hAnsi="Times New Roman" w:cs="Times New Roman"/>
          <w:sz w:val="24"/>
          <w:szCs w:val="24"/>
        </w:rPr>
        <w:t xml:space="preserve"> in the</w:t>
      </w:r>
      <w:r w:rsidR="00D83A94" w:rsidRPr="00AD36D9">
        <w:rPr>
          <w:rFonts w:ascii="Times New Roman" w:hAnsi="Times New Roman" w:cs="Times New Roman"/>
          <w:sz w:val="24"/>
          <w:szCs w:val="24"/>
        </w:rPr>
        <w:t xml:space="preserve"> enrollment decisions by women at the end of their introductory physics course</w:t>
      </w:r>
      <w:r w:rsidR="00736F31" w:rsidRPr="00AD36D9">
        <w:rPr>
          <w:rFonts w:ascii="Times New Roman" w:hAnsi="Times New Roman" w:cs="Times New Roman"/>
          <w:sz w:val="24"/>
          <w:szCs w:val="24"/>
        </w:rPr>
        <w:t xml:space="preserve">. </w:t>
      </w:r>
      <w:r w:rsidR="00C3208A" w:rsidRPr="00AD36D9">
        <w:rPr>
          <w:rFonts w:ascii="Times New Roman" w:hAnsi="Times New Roman" w:cs="Times New Roman"/>
          <w:sz w:val="24"/>
          <w:szCs w:val="24"/>
        </w:rPr>
        <w:t xml:space="preserve">If </w:t>
      </w:r>
      <w:r w:rsidRPr="00AD36D9">
        <w:rPr>
          <w:rFonts w:ascii="Times New Roman" w:hAnsi="Times New Roman" w:cs="Times New Roman"/>
          <w:sz w:val="24"/>
          <w:szCs w:val="24"/>
        </w:rPr>
        <w:t xml:space="preserve">educators understand </w:t>
      </w:r>
      <w:r w:rsidR="00C3208A" w:rsidRPr="00AD36D9">
        <w:rPr>
          <w:rFonts w:ascii="Times New Roman" w:hAnsi="Times New Roman" w:cs="Times New Roman"/>
          <w:sz w:val="24"/>
          <w:szCs w:val="24"/>
        </w:rPr>
        <w:t xml:space="preserve">the </w:t>
      </w:r>
      <w:r w:rsidRPr="00AD36D9">
        <w:rPr>
          <w:rFonts w:ascii="Times New Roman" w:hAnsi="Times New Roman" w:cs="Times New Roman"/>
          <w:sz w:val="24"/>
          <w:szCs w:val="24"/>
        </w:rPr>
        <w:t>impact</w:t>
      </w:r>
      <w:r w:rsidR="00C3208A" w:rsidRPr="00AD36D9">
        <w:rPr>
          <w:rFonts w:ascii="Times New Roman" w:hAnsi="Times New Roman" w:cs="Times New Roman"/>
          <w:sz w:val="24"/>
          <w:szCs w:val="24"/>
        </w:rPr>
        <w:t xml:space="preserve"> of </w:t>
      </w:r>
      <w:r w:rsidRPr="00AD36D9">
        <w:rPr>
          <w:rFonts w:ascii="Times New Roman" w:hAnsi="Times New Roman" w:cs="Times New Roman"/>
          <w:sz w:val="24"/>
          <w:szCs w:val="24"/>
        </w:rPr>
        <w:t>Bandura’s</w:t>
      </w:r>
      <w:r w:rsidR="00CC2B46">
        <w:rPr>
          <w:rFonts w:ascii="Times New Roman" w:hAnsi="Times New Roman" w:cs="Times New Roman"/>
          <w:sz w:val="24"/>
          <w:szCs w:val="24"/>
        </w:rPr>
        <w:t xml:space="preserve"> (1977)</w:t>
      </w:r>
      <w:r w:rsidRPr="00AD36D9">
        <w:rPr>
          <w:rFonts w:ascii="Times New Roman" w:hAnsi="Times New Roman" w:cs="Times New Roman"/>
          <w:sz w:val="24"/>
          <w:szCs w:val="24"/>
        </w:rPr>
        <w:t xml:space="preserve"> four sources of self-efficacy </w:t>
      </w:r>
      <w:r w:rsidR="00C3208A" w:rsidRPr="00AD36D9">
        <w:rPr>
          <w:rFonts w:ascii="Times New Roman" w:hAnsi="Times New Roman" w:cs="Times New Roman"/>
          <w:sz w:val="24"/>
          <w:szCs w:val="24"/>
        </w:rPr>
        <w:t>on</w:t>
      </w:r>
      <w:r w:rsidRPr="00AD36D9">
        <w:rPr>
          <w:rFonts w:ascii="Times New Roman" w:hAnsi="Times New Roman" w:cs="Times New Roman"/>
          <w:sz w:val="24"/>
          <w:szCs w:val="24"/>
        </w:rPr>
        <w:t xml:space="preserve"> enrollment decisions by women, they </w:t>
      </w:r>
      <w:r w:rsidR="00010337">
        <w:rPr>
          <w:rFonts w:ascii="Times New Roman" w:hAnsi="Times New Roman" w:cs="Times New Roman"/>
          <w:sz w:val="24"/>
          <w:szCs w:val="24"/>
        </w:rPr>
        <w:t>can</w:t>
      </w:r>
      <w:r w:rsidR="00C3208A"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adjust </w:t>
      </w:r>
      <w:r w:rsidR="002F6FF0">
        <w:rPr>
          <w:rFonts w:ascii="Times New Roman" w:hAnsi="Times New Roman" w:cs="Times New Roman"/>
          <w:sz w:val="24"/>
          <w:szCs w:val="24"/>
        </w:rPr>
        <w:t xml:space="preserve">school </w:t>
      </w:r>
      <w:r w:rsidRPr="00AD36D9">
        <w:rPr>
          <w:rFonts w:ascii="Times New Roman" w:hAnsi="Times New Roman" w:cs="Times New Roman"/>
          <w:sz w:val="24"/>
          <w:szCs w:val="24"/>
        </w:rPr>
        <w:t xml:space="preserve">practices </w:t>
      </w:r>
      <w:r w:rsidR="00C3208A" w:rsidRPr="00AD36D9">
        <w:rPr>
          <w:rFonts w:ascii="Times New Roman" w:hAnsi="Times New Roman" w:cs="Times New Roman"/>
          <w:sz w:val="24"/>
          <w:szCs w:val="24"/>
        </w:rPr>
        <w:t>that support women’s enrollment in physics</w:t>
      </w:r>
      <w:r w:rsidR="00321556" w:rsidRPr="00AD36D9">
        <w:rPr>
          <w:rFonts w:ascii="Times New Roman" w:eastAsia="Times New Roman" w:hAnsi="Times New Roman" w:cs="Times New Roman"/>
          <w:sz w:val="24"/>
          <w:szCs w:val="24"/>
          <w:lang w:val="en-GB" w:eastAsia="en-GB"/>
        </w:rPr>
        <w:t xml:space="preserve">. </w:t>
      </w:r>
      <w:r w:rsidR="00BF76BB" w:rsidRPr="00AD36D9">
        <w:rPr>
          <w:rFonts w:ascii="Times New Roman" w:hAnsi="Times New Roman" w:cs="Times New Roman"/>
          <w:sz w:val="24"/>
          <w:szCs w:val="24"/>
        </w:rPr>
        <w:t xml:space="preserve">This study </w:t>
      </w:r>
      <w:r w:rsidR="001F3DFB">
        <w:rPr>
          <w:rFonts w:ascii="Times New Roman" w:hAnsi="Times New Roman" w:cs="Times New Roman"/>
          <w:sz w:val="24"/>
          <w:szCs w:val="24"/>
        </w:rPr>
        <w:t>sought</w:t>
      </w:r>
      <w:r w:rsidR="001F3DFB" w:rsidRPr="00AD36D9">
        <w:rPr>
          <w:rFonts w:ascii="Times New Roman" w:hAnsi="Times New Roman" w:cs="Times New Roman"/>
          <w:sz w:val="24"/>
          <w:szCs w:val="24"/>
        </w:rPr>
        <w:t xml:space="preserve"> </w:t>
      </w:r>
      <w:r w:rsidR="00BF76BB" w:rsidRPr="00AD36D9">
        <w:rPr>
          <w:rFonts w:ascii="Times New Roman" w:hAnsi="Times New Roman" w:cs="Times New Roman"/>
          <w:sz w:val="24"/>
          <w:szCs w:val="24"/>
        </w:rPr>
        <w:t xml:space="preserve">to explore how </w:t>
      </w:r>
      <w:r w:rsidR="00C56638">
        <w:rPr>
          <w:rFonts w:ascii="Times New Roman" w:hAnsi="Times New Roman" w:cs="Times New Roman"/>
          <w:sz w:val="24"/>
          <w:szCs w:val="24"/>
        </w:rPr>
        <w:t>Bandura’s</w:t>
      </w:r>
      <w:r w:rsidR="00BF76BB" w:rsidRPr="00AD36D9">
        <w:rPr>
          <w:rFonts w:ascii="Times New Roman" w:hAnsi="Times New Roman" w:cs="Times New Roman"/>
          <w:sz w:val="24"/>
          <w:szCs w:val="24"/>
        </w:rPr>
        <w:t xml:space="preserve"> four components impact the enrollment decision</w:t>
      </w:r>
      <w:r w:rsidR="00C56638">
        <w:rPr>
          <w:rFonts w:ascii="Times New Roman" w:hAnsi="Times New Roman" w:cs="Times New Roman"/>
          <w:sz w:val="24"/>
          <w:szCs w:val="24"/>
        </w:rPr>
        <w:t>s</w:t>
      </w:r>
      <w:r w:rsidR="00BF76BB" w:rsidRPr="00AD36D9">
        <w:rPr>
          <w:rFonts w:ascii="Times New Roman" w:hAnsi="Times New Roman" w:cs="Times New Roman"/>
          <w:sz w:val="24"/>
          <w:szCs w:val="24"/>
        </w:rPr>
        <w:t xml:space="preserve"> of students. </w:t>
      </w:r>
      <w:r w:rsidRPr="00AD36D9">
        <w:rPr>
          <w:rFonts w:ascii="Times New Roman" w:eastAsia="Times New Roman" w:hAnsi="Times New Roman" w:cs="Times New Roman"/>
          <w:sz w:val="24"/>
          <w:szCs w:val="24"/>
          <w:lang w:val="en-GB" w:eastAsia="en-GB"/>
        </w:rPr>
        <w:t>Th</w:t>
      </w:r>
      <w:r w:rsidR="00073B31" w:rsidRPr="00AD36D9">
        <w:rPr>
          <w:rFonts w:ascii="Times New Roman" w:eastAsia="Times New Roman" w:hAnsi="Times New Roman" w:cs="Times New Roman"/>
          <w:sz w:val="24"/>
          <w:szCs w:val="24"/>
          <w:lang w:val="en-GB" w:eastAsia="en-GB"/>
        </w:rPr>
        <w:t>is</w:t>
      </w:r>
      <w:r w:rsidRPr="00AD36D9">
        <w:rPr>
          <w:rFonts w:ascii="Times New Roman" w:eastAsia="Times New Roman" w:hAnsi="Times New Roman" w:cs="Times New Roman"/>
          <w:sz w:val="24"/>
          <w:szCs w:val="24"/>
          <w:lang w:val="en-GB" w:eastAsia="en-GB"/>
        </w:rPr>
        <w:t xml:space="preserve"> </w:t>
      </w:r>
      <w:r w:rsidR="001F3DFB">
        <w:rPr>
          <w:rFonts w:ascii="Times New Roman" w:eastAsia="Times New Roman" w:hAnsi="Times New Roman" w:cs="Times New Roman"/>
          <w:sz w:val="24"/>
          <w:szCs w:val="24"/>
          <w:lang w:val="en-GB" w:eastAsia="en-GB"/>
        </w:rPr>
        <w:t>research identified</w:t>
      </w:r>
      <w:r w:rsidR="002032A0" w:rsidRPr="00AD36D9">
        <w:rPr>
          <w:rFonts w:ascii="Times New Roman" w:eastAsia="Times New Roman" w:hAnsi="Times New Roman" w:cs="Times New Roman"/>
          <w:sz w:val="24"/>
          <w:szCs w:val="24"/>
          <w:lang w:val="en-GB" w:eastAsia="en-GB"/>
        </w:rPr>
        <w:t xml:space="preserve"> the role of</w:t>
      </w:r>
      <w:r w:rsidRPr="00AD36D9">
        <w:rPr>
          <w:rFonts w:ascii="Times New Roman" w:eastAsia="Times New Roman" w:hAnsi="Times New Roman" w:cs="Times New Roman"/>
          <w:sz w:val="24"/>
          <w:szCs w:val="24"/>
          <w:lang w:val="en-GB" w:eastAsia="en-GB"/>
        </w:rPr>
        <w:t xml:space="preserve"> self-efficacy </w:t>
      </w:r>
      <w:r w:rsidR="001F3DFB">
        <w:rPr>
          <w:rFonts w:ascii="Times New Roman" w:eastAsia="Times New Roman" w:hAnsi="Times New Roman" w:cs="Times New Roman"/>
          <w:sz w:val="24"/>
          <w:szCs w:val="24"/>
          <w:lang w:val="en-GB" w:eastAsia="en-GB"/>
        </w:rPr>
        <w:t>in</w:t>
      </w:r>
      <w:r w:rsidR="001F3DFB" w:rsidRPr="00AD36D9">
        <w:rPr>
          <w:rFonts w:ascii="Times New Roman" w:eastAsia="Times New Roman" w:hAnsi="Times New Roman" w:cs="Times New Roman"/>
          <w:sz w:val="24"/>
          <w:szCs w:val="24"/>
          <w:lang w:val="en-GB" w:eastAsia="en-GB"/>
        </w:rPr>
        <w:t xml:space="preserve"> </w:t>
      </w:r>
      <w:r w:rsidR="00055C58">
        <w:rPr>
          <w:rFonts w:ascii="Times New Roman" w:eastAsia="Times New Roman" w:hAnsi="Times New Roman" w:cs="Times New Roman"/>
          <w:sz w:val="24"/>
          <w:szCs w:val="24"/>
          <w:lang w:val="en-GB" w:eastAsia="en-GB"/>
        </w:rPr>
        <w:t xml:space="preserve">the </w:t>
      </w:r>
      <w:r w:rsidR="00736F31" w:rsidRPr="00AD36D9">
        <w:rPr>
          <w:rFonts w:ascii="Times New Roman" w:eastAsia="Times New Roman" w:hAnsi="Times New Roman" w:cs="Times New Roman"/>
          <w:sz w:val="24"/>
          <w:szCs w:val="24"/>
          <w:lang w:val="en-GB" w:eastAsia="en-GB"/>
        </w:rPr>
        <w:t>enrollment</w:t>
      </w:r>
      <w:r w:rsidRPr="00AD36D9">
        <w:rPr>
          <w:rFonts w:ascii="Times New Roman" w:eastAsia="Times New Roman" w:hAnsi="Times New Roman" w:cs="Times New Roman"/>
          <w:sz w:val="24"/>
          <w:szCs w:val="24"/>
          <w:lang w:val="en-GB" w:eastAsia="en-GB"/>
        </w:rPr>
        <w:t xml:space="preserve"> patterns of high school students through </w:t>
      </w:r>
      <w:r w:rsidR="002032A0" w:rsidRPr="00AD36D9">
        <w:rPr>
          <w:rFonts w:ascii="Times New Roman" w:eastAsia="Times New Roman" w:hAnsi="Times New Roman" w:cs="Times New Roman"/>
          <w:sz w:val="24"/>
          <w:szCs w:val="24"/>
          <w:lang w:val="en-GB" w:eastAsia="en-GB"/>
        </w:rPr>
        <w:t>a quantitative analysis</w:t>
      </w:r>
      <w:r w:rsidR="00736F31" w:rsidRPr="00AD36D9">
        <w:rPr>
          <w:rFonts w:ascii="Times New Roman" w:eastAsia="Times New Roman" w:hAnsi="Times New Roman" w:cs="Times New Roman"/>
          <w:sz w:val="24"/>
          <w:szCs w:val="24"/>
          <w:lang w:val="en-GB" w:eastAsia="en-GB"/>
        </w:rPr>
        <w:t xml:space="preserve">. </w:t>
      </w:r>
      <w:r w:rsidR="002032A0" w:rsidRPr="00AD36D9">
        <w:rPr>
          <w:rFonts w:ascii="Times New Roman" w:eastAsia="Times New Roman" w:hAnsi="Times New Roman" w:cs="Times New Roman"/>
          <w:sz w:val="24"/>
          <w:szCs w:val="24"/>
          <w:lang w:val="en-GB" w:eastAsia="en-GB"/>
        </w:rPr>
        <w:t xml:space="preserve">Commonly studied variables </w:t>
      </w:r>
      <w:r w:rsidR="000D1CF0" w:rsidRPr="00AD36D9">
        <w:rPr>
          <w:rFonts w:ascii="Times New Roman" w:eastAsia="Times New Roman" w:hAnsi="Times New Roman" w:cs="Times New Roman"/>
          <w:sz w:val="24"/>
          <w:szCs w:val="24"/>
          <w:lang w:val="en-GB" w:eastAsia="en-GB"/>
        </w:rPr>
        <w:t>related to</w:t>
      </w:r>
      <w:r w:rsidR="002032A0" w:rsidRPr="00AD36D9">
        <w:rPr>
          <w:rFonts w:ascii="Times New Roman" w:eastAsia="Times New Roman" w:hAnsi="Times New Roman" w:cs="Times New Roman"/>
          <w:sz w:val="24"/>
          <w:szCs w:val="24"/>
          <w:lang w:val="en-GB" w:eastAsia="en-GB"/>
        </w:rPr>
        <w:t xml:space="preserve"> enrol</w:t>
      </w:r>
      <w:r w:rsidR="000D1CF0" w:rsidRPr="00AD36D9">
        <w:rPr>
          <w:rFonts w:ascii="Times New Roman" w:eastAsia="Times New Roman" w:hAnsi="Times New Roman" w:cs="Times New Roman"/>
          <w:sz w:val="24"/>
          <w:szCs w:val="24"/>
          <w:lang w:val="en-GB" w:eastAsia="en-GB"/>
        </w:rPr>
        <w:t>l</w:t>
      </w:r>
      <w:r w:rsidR="002032A0" w:rsidRPr="00AD36D9">
        <w:rPr>
          <w:rFonts w:ascii="Times New Roman" w:eastAsia="Times New Roman" w:hAnsi="Times New Roman" w:cs="Times New Roman"/>
          <w:sz w:val="24"/>
          <w:szCs w:val="24"/>
          <w:lang w:val="en-GB" w:eastAsia="en-GB"/>
        </w:rPr>
        <w:t xml:space="preserve">ment patterns, including </w:t>
      </w:r>
      <w:r w:rsidR="00185DF8">
        <w:rPr>
          <w:rFonts w:ascii="Times New Roman" w:eastAsia="Times New Roman" w:hAnsi="Times New Roman" w:cs="Times New Roman"/>
          <w:sz w:val="24"/>
          <w:szCs w:val="24"/>
          <w:lang w:val="en-GB" w:eastAsia="en-GB"/>
        </w:rPr>
        <w:t>physics knowledge</w:t>
      </w:r>
      <w:r w:rsidR="00053449">
        <w:rPr>
          <w:rFonts w:ascii="Times New Roman" w:eastAsia="Times New Roman" w:hAnsi="Times New Roman" w:cs="Times New Roman"/>
          <w:sz w:val="24"/>
          <w:szCs w:val="24"/>
          <w:lang w:val="en-GB" w:eastAsia="en-GB"/>
        </w:rPr>
        <w:t xml:space="preserve"> growth</w:t>
      </w:r>
      <w:r w:rsidR="00185DF8">
        <w:rPr>
          <w:rFonts w:ascii="Times New Roman" w:eastAsia="Times New Roman" w:hAnsi="Times New Roman" w:cs="Times New Roman"/>
          <w:sz w:val="24"/>
          <w:szCs w:val="24"/>
          <w:lang w:val="en-GB" w:eastAsia="en-GB"/>
        </w:rPr>
        <w:t xml:space="preserve"> and introductory physics course grades</w:t>
      </w:r>
      <w:r w:rsidR="002032A0" w:rsidRPr="00AD36D9">
        <w:rPr>
          <w:rFonts w:ascii="Times New Roman" w:eastAsia="Times New Roman" w:hAnsi="Times New Roman" w:cs="Times New Roman"/>
          <w:sz w:val="24"/>
          <w:szCs w:val="24"/>
          <w:lang w:val="en-GB" w:eastAsia="en-GB"/>
        </w:rPr>
        <w:t xml:space="preserve">, </w:t>
      </w:r>
      <w:r w:rsidR="001F3DFB">
        <w:rPr>
          <w:rFonts w:ascii="Times New Roman" w:eastAsia="Times New Roman" w:hAnsi="Times New Roman" w:cs="Times New Roman"/>
          <w:sz w:val="24"/>
          <w:szCs w:val="24"/>
          <w:lang w:val="en-GB" w:eastAsia="en-GB"/>
        </w:rPr>
        <w:t>were</w:t>
      </w:r>
      <w:r w:rsidR="002032A0" w:rsidRPr="00AD36D9">
        <w:rPr>
          <w:rFonts w:ascii="Times New Roman" w:eastAsia="Times New Roman" w:hAnsi="Times New Roman" w:cs="Times New Roman"/>
          <w:sz w:val="24"/>
          <w:szCs w:val="24"/>
          <w:lang w:val="en-GB" w:eastAsia="en-GB"/>
        </w:rPr>
        <w:t xml:space="preserve"> controlled. </w:t>
      </w:r>
      <w:r w:rsidR="00185DF8">
        <w:rPr>
          <w:rFonts w:ascii="Times New Roman" w:eastAsia="Times New Roman" w:hAnsi="Times New Roman" w:cs="Times New Roman"/>
          <w:sz w:val="24"/>
          <w:szCs w:val="24"/>
          <w:lang w:val="en-GB" w:eastAsia="en-GB"/>
        </w:rPr>
        <w:t>A model</w:t>
      </w:r>
      <w:r w:rsidR="002032A0" w:rsidRPr="00AD36D9">
        <w:rPr>
          <w:rFonts w:ascii="Times New Roman" w:eastAsia="Times New Roman" w:hAnsi="Times New Roman" w:cs="Times New Roman"/>
          <w:sz w:val="24"/>
          <w:szCs w:val="24"/>
          <w:lang w:val="en-GB" w:eastAsia="en-GB"/>
        </w:rPr>
        <w:t xml:space="preserve"> </w:t>
      </w:r>
      <w:r w:rsidR="001F3DFB">
        <w:rPr>
          <w:rFonts w:ascii="Times New Roman" w:eastAsia="Times New Roman" w:hAnsi="Times New Roman" w:cs="Times New Roman"/>
          <w:sz w:val="24"/>
          <w:szCs w:val="24"/>
          <w:lang w:val="en-GB" w:eastAsia="en-GB"/>
        </w:rPr>
        <w:t>was</w:t>
      </w:r>
      <w:r w:rsidR="002032A0" w:rsidRPr="00AD36D9">
        <w:rPr>
          <w:rFonts w:ascii="Times New Roman" w:eastAsia="Times New Roman" w:hAnsi="Times New Roman" w:cs="Times New Roman"/>
          <w:sz w:val="24"/>
          <w:szCs w:val="24"/>
          <w:lang w:val="en-GB" w:eastAsia="en-GB"/>
        </w:rPr>
        <w:t xml:space="preserve"> generated </w:t>
      </w:r>
      <w:r w:rsidR="00185DF8">
        <w:rPr>
          <w:rFonts w:ascii="Times New Roman" w:eastAsia="Times New Roman" w:hAnsi="Times New Roman" w:cs="Times New Roman"/>
          <w:sz w:val="24"/>
          <w:szCs w:val="24"/>
          <w:lang w:val="en-GB" w:eastAsia="en-GB"/>
        </w:rPr>
        <w:t xml:space="preserve">to explore </w:t>
      </w:r>
      <w:r w:rsidR="003D0856" w:rsidRPr="00AD36D9">
        <w:rPr>
          <w:rFonts w:ascii="Times New Roman" w:eastAsia="Times New Roman" w:hAnsi="Times New Roman" w:cs="Times New Roman"/>
          <w:sz w:val="24"/>
          <w:szCs w:val="24"/>
          <w:lang w:val="en-GB" w:eastAsia="en-GB"/>
        </w:rPr>
        <w:t xml:space="preserve">the role </w:t>
      </w:r>
      <w:r w:rsidR="001F3DFB">
        <w:rPr>
          <w:rFonts w:ascii="Times New Roman" w:eastAsia="Times New Roman" w:hAnsi="Times New Roman" w:cs="Times New Roman"/>
          <w:sz w:val="24"/>
          <w:szCs w:val="24"/>
          <w:lang w:val="en-GB" w:eastAsia="en-GB"/>
        </w:rPr>
        <w:t xml:space="preserve">sources of </w:t>
      </w:r>
      <w:r w:rsidR="00405578" w:rsidRPr="00AD36D9">
        <w:rPr>
          <w:rFonts w:ascii="Times New Roman" w:eastAsia="Times New Roman" w:hAnsi="Times New Roman" w:cs="Times New Roman"/>
          <w:sz w:val="24"/>
          <w:szCs w:val="24"/>
          <w:lang w:val="en-GB" w:eastAsia="en-GB"/>
        </w:rPr>
        <w:t>self-efficacy</w:t>
      </w:r>
      <w:r w:rsidR="003D0856" w:rsidRPr="00AD36D9">
        <w:rPr>
          <w:rFonts w:ascii="Times New Roman" w:eastAsia="Times New Roman" w:hAnsi="Times New Roman" w:cs="Times New Roman"/>
          <w:sz w:val="24"/>
          <w:szCs w:val="24"/>
          <w:lang w:val="en-GB" w:eastAsia="en-GB"/>
        </w:rPr>
        <w:t xml:space="preserve"> </w:t>
      </w:r>
      <w:r w:rsidR="001F3DFB">
        <w:rPr>
          <w:rFonts w:ascii="Times New Roman" w:eastAsia="Times New Roman" w:hAnsi="Times New Roman" w:cs="Times New Roman"/>
          <w:sz w:val="24"/>
          <w:szCs w:val="24"/>
          <w:lang w:val="en-GB" w:eastAsia="en-GB"/>
        </w:rPr>
        <w:t xml:space="preserve">played </w:t>
      </w:r>
      <w:r w:rsidR="00185DF8">
        <w:rPr>
          <w:rFonts w:ascii="Times New Roman" w:eastAsia="Times New Roman" w:hAnsi="Times New Roman" w:cs="Times New Roman"/>
          <w:sz w:val="24"/>
          <w:szCs w:val="24"/>
          <w:lang w:val="en-GB" w:eastAsia="en-GB"/>
        </w:rPr>
        <w:t>for all students. Additionally, two more models</w:t>
      </w:r>
      <w:r w:rsidR="00300464">
        <w:rPr>
          <w:rFonts w:ascii="Times New Roman" w:eastAsia="Times New Roman" w:hAnsi="Times New Roman" w:cs="Times New Roman"/>
          <w:sz w:val="24"/>
          <w:szCs w:val="24"/>
          <w:lang w:val="en-GB" w:eastAsia="en-GB"/>
        </w:rPr>
        <w:t xml:space="preserve"> disaggregated by gender</w:t>
      </w:r>
      <w:r w:rsidR="003D0856" w:rsidRPr="00AD36D9">
        <w:rPr>
          <w:rFonts w:ascii="Times New Roman" w:eastAsia="Times New Roman" w:hAnsi="Times New Roman" w:cs="Times New Roman"/>
          <w:sz w:val="24"/>
          <w:szCs w:val="24"/>
          <w:lang w:val="en-GB" w:eastAsia="en-GB"/>
        </w:rPr>
        <w:t xml:space="preserve"> assess</w:t>
      </w:r>
      <w:r w:rsidR="00CC2B46">
        <w:rPr>
          <w:rFonts w:ascii="Times New Roman" w:eastAsia="Times New Roman" w:hAnsi="Times New Roman" w:cs="Times New Roman"/>
          <w:sz w:val="24"/>
          <w:szCs w:val="24"/>
          <w:lang w:val="en-GB" w:eastAsia="en-GB"/>
        </w:rPr>
        <w:t>ed whether</w:t>
      </w:r>
      <w:r w:rsidR="003D0856" w:rsidRPr="00AD36D9">
        <w:rPr>
          <w:rFonts w:ascii="Times New Roman" w:eastAsia="Times New Roman" w:hAnsi="Times New Roman" w:cs="Times New Roman"/>
          <w:sz w:val="24"/>
          <w:szCs w:val="24"/>
          <w:lang w:val="en-GB" w:eastAsia="en-GB"/>
        </w:rPr>
        <w:t xml:space="preserve"> </w:t>
      </w:r>
      <w:r w:rsidR="00C22493" w:rsidRPr="00AD36D9">
        <w:rPr>
          <w:rFonts w:ascii="Times New Roman" w:eastAsia="Times New Roman" w:hAnsi="Times New Roman" w:cs="Times New Roman"/>
          <w:sz w:val="24"/>
          <w:szCs w:val="24"/>
          <w:lang w:val="en-GB" w:eastAsia="en-GB"/>
        </w:rPr>
        <w:t>the impact</w:t>
      </w:r>
      <w:r w:rsidR="003D0856" w:rsidRPr="00AD36D9">
        <w:rPr>
          <w:rFonts w:ascii="Times New Roman" w:eastAsia="Times New Roman" w:hAnsi="Times New Roman" w:cs="Times New Roman"/>
          <w:sz w:val="24"/>
          <w:szCs w:val="24"/>
          <w:lang w:val="en-GB" w:eastAsia="en-GB"/>
        </w:rPr>
        <w:t xml:space="preserve"> </w:t>
      </w:r>
      <w:r w:rsidR="001F3DFB">
        <w:rPr>
          <w:rFonts w:ascii="Times New Roman" w:eastAsia="Times New Roman" w:hAnsi="Times New Roman" w:cs="Times New Roman"/>
          <w:sz w:val="24"/>
          <w:szCs w:val="24"/>
          <w:lang w:val="en-GB" w:eastAsia="en-GB"/>
        </w:rPr>
        <w:t xml:space="preserve">of sources </w:t>
      </w:r>
      <w:r w:rsidR="003D0856" w:rsidRPr="00AD36D9">
        <w:rPr>
          <w:rFonts w:ascii="Times New Roman" w:eastAsia="Times New Roman" w:hAnsi="Times New Roman" w:cs="Times New Roman"/>
          <w:sz w:val="24"/>
          <w:szCs w:val="24"/>
          <w:lang w:val="en-GB" w:eastAsia="en-GB"/>
        </w:rPr>
        <w:t xml:space="preserve">of </w:t>
      </w:r>
      <w:r w:rsidR="00405578" w:rsidRPr="00AD36D9">
        <w:rPr>
          <w:rFonts w:ascii="Times New Roman" w:eastAsia="Times New Roman" w:hAnsi="Times New Roman" w:cs="Times New Roman"/>
          <w:sz w:val="24"/>
          <w:szCs w:val="24"/>
          <w:lang w:val="en-GB" w:eastAsia="en-GB"/>
        </w:rPr>
        <w:t>self-efficacy</w:t>
      </w:r>
      <w:r w:rsidR="003D0856" w:rsidRPr="00AD36D9">
        <w:rPr>
          <w:rFonts w:ascii="Times New Roman" w:eastAsia="Times New Roman" w:hAnsi="Times New Roman" w:cs="Times New Roman"/>
          <w:sz w:val="24"/>
          <w:szCs w:val="24"/>
          <w:lang w:val="en-GB" w:eastAsia="en-GB"/>
        </w:rPr>
        <w:t xml:space="preserve"> on advanced physics enrol</w:t>
      </w:r>
      <w:r w:rsidR="00F3257F" w:rsidRPr="00AD36D9">
        <w:rPr>
          <w:rFonts w:ascii="Times New Roman" w:eastAsia="Times New Roman" w:hAnsi="Times New Roman" w:cs="Times New Roman"/>
          <w:sz w:val="24"/>
          <w:szCs w:val="24"/>
          <w:lang w:val="en-GB" w:eastAsia="en-GB"/>
        </w:rPr>
        <w:t>l</w:t>
      </w:r>
      <w:r w:rsidR="003D0856" w:rsidRPr="00AD36D9">
        <w:rPr>
          <w:rFonts w:ascii="Times New Roman" w:eastAsia="Times New Roman" w:hAnsi="Times New Roman" w:cs="Times New Roman"/>
          <w:sz w:val="24"/>
          <w:szCs w:val="24"/>
          <w:lang w:val="en-GB" w:eastAsia="en-GB"/>
        </w:rPr>
        <w:t>ment differ between men and women</w:t>
      </w:r>
      <w:r w:rsidR="002032A0" w:rsidRPr="00AD36D9">
        <w:rPr>
          <w:rFonts w:ascii="Times New Roman" w:eastAsia="Times New Roman" w:hAnsi="Times New Roman" w:cs="Times New Roman"/>
          <w:sz w:val="24"/>
          <w:szCs w:val="24"/>
          <w:lang w:val="en-GB" w:eastAsia="en-GB"/>
        </w:rPr>
        <w:t xml:space="preserve">. </w:t>
      </w:r>
    </w:p>
    <w:p w14:paraId="55F19BFE" w14:textId="77BFB20F" w:rsidR="004B5398" w:rsidRPr="005B2E77" w:rsidRDefault="004B5398" w:rsidP="00BA4A2D">
      <w:pPr>
        <w:widowControl w:val="0"/>
        <w:spacing w:after="0" w:line="480" w:lineRule="auto"/>
        <w:jc w:val="center"/>
        <w:rPr>
          <w:rFonts w:ascii="Times New Roman" w:eastAsiaTheme="minorEastAsia" w:hAnsi="Times New Roman" w:cs="Times New Roman"/>
          <w:b/>
          <w:bCs/>
          <w:strike/>
          <w:color w:val="000000" w:themeColor="text1"/>
          <w:kern w:val="24"/>
          <w:sz w:val="24"/>
          <w:szCs w:val="24"/>
        </w:rPr>
      </w:pPr>
      <w:r w:rsidRPr="00AD36D9">
        <w:rPr>
          <w:rFonts w:ascii="Times New Roman" w:eastAsiaTheme="minorEastAsia" w:hAnsi="Times New Roman" w:cs="Times New Roman"/>
          <w:b/>
          <w:bCs/>
          <w:color w:val="000000" w:themeColor="text1"/>
          <w:kern w:val="24"/>
          <w:sz w:val="24"/>
          <w:szCs w:val="24"/>
        </w:rPr>
        <w:t xml:space="preserve">Research </w:t>
      </w:r>
      <w:r w:rsidR="00DC636F" w:rsidRPr="00AD36D9">
        <w:rPr>
          <w:rFonts w:ascii="Times New Roman" w:eastAsiaTheme="minorEastAsia" w:hAnsi="Times New Roman" w:cs="Times New Roman"/>
          <w:b/>
          <w:bCs/>
          <w:color w:val="000000" w:themeColor="text1"/>
          <w:kern w:val="24"/>
          <w:sz w:val="24"/>
          <w:szCs w:val="24"/>
        </w:rPr>
        <w:t>Question</w:t>
      </w:r>
      <w:r w:rsidR="00A127C4" w:rsidRPr="00AD36D9">
        <w:rPr>
          <w:rFonts w:ascii="Times New Roman" w:eastAsiaTheme="minorEastAsia" w:hAnsi="Times New Roman" w:cs="Times New Roman"/>
          <w:b/>
          <w:bCs/>
          <w:color w:val="000000" w:themeColor="text1"/>
          <w:kern w:val="24"/>
          <w:sz w:val="24"/>
          <w:szCs w:val="24"/>
        </w:rPr>
        <w:t>s</w:t>
      </w:r>
    </w:p>
    <w:p w14:paraId="1F6B9523" w14:textId="288B74E2" w:rsidR="00647EAF" w:rsidRPr="00AD36D9" w:rsidRDefault="004644F8" w:rsidP="00BA4A2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Women at the research site </w:t>
      </w:r>
      <w:r w:rsidR="00C607A9">
        <w:rPr>
          <w:rFonts w:ascii="Times New Roman" w:hAnsi="Times New Roman" w:cs="Times New Roman"/>
          <w:sz w:val="24"/>
          <w:szCs w:val="24"/>
        </w:rPr>
        <w:t xml:space="preserve">made </w:t>
      </w:r>
      <w:r>
        <w:rPr>
          <w:rFonts w:ascii="Times New Roman" w:hAnsi="Times New Roman" w:cs="Times New Roman"/>
          <w:sz w:val="24"/>
          <w:szCs w:val="24"/>
        </w:rPr>
        <w:t>up nearly half of the students taking a first</w:t>
      </w:r>
      <w:r w:rsidR="0014055B">
        <w:rPr>
          <w:rFonts w:ascii="Times New Roman" w:hAnsi="Times New Roman" w:cs="Times New Roman"/>
          <w:sz w:val="24"/>
          <w:szCs w:val="24"/>
        </w:rPr>
        <w:t>-</w:t>
      </w:r>
      <w:r>
        <w:rPr>
          <w:rFonts w:ascii="Times New Roman" w:hAnsi="Times New Roman" w:cs="Times New Roman"/>
          <w:sz w:val="24"/>
          <w:szCs w:val="24"/>
        </w:rPr>
        <w:t>year physics course. However</w:t>
      </w:r>
      <w:r w:rsidR="0014055B">
        <w:rPr>
          <w:rFonts w:ascii="Times New Roman" w:hAnsi="Times New Roman" w:cs="Times New Roman"/>
          <w:sz w:val="24"/>
          <w:szCs w:val="24"/>
        </w:rPr>
        <w:t>,</w:t>
      </w:r>
      <w:r>
        <w:rPr>
          <w:rFonts w:ascii="Times New Roman" w:hAnsi="Times New Roman" w:cs="Times New Roman"/>
          <w:sz w:val="24"/>
          <w:szCs w:val="24"/>
        </w:rPr>
        <w:t xml:space="preserve"> at this same site, women only make up 25</w:t>
      </w:r>
      <w:r w:rsidR="00300464">
        <w:rPr>
          <w:rFonts w:ascii="Times New Roman" w:hAnsi="Times New Roman" w:cs="Times New Roman"/>
          <w:sz w:val="24"/>
          <w:szCs w:val="24"/>
        </w:rPr>
        <w:t xml:space="preserve">% </w:t>
      </w:r>
      <w:r>
        <w:rPr>
          <w:rFonts w:ascii="Times New Roman" w:hAnsi="Times New Roman" w:cs="Times New Roman"/>
          <w:sz w:val="24"/>
          <w:szCs w:val="24"/>
        </w:rPr>
        <w:t xml:space="preserve">of those enrolled in a second year of high school physics. </w:t>
      </w:r>
      <w:r w:rsidR="0083380A" w:rsidRPr="00AD36D9">
        <w:rPr>
          <w:rFonts w:ascii="Times New Roman" w:hAnsi="Times New Roman" w:cs="Times New Roman"/>
          <w:sz w:val="24"/>
          <w:szCs w:val="24"/>
        </w:rPr>
        <w:t xml:space="preserve">The </w:t>
      </w:r>
      <w:r w:rsidR="001774E6" w:rsidRPr="00AD36D9">
        <w:rPr>
          <w:rFonts w:ascii="Times New Roman" w:hAnsi="Times New Roman" w:cs="Times New Roman"/>
          <w:sz w:val="24"/>
          <w:szCs w:val="24"/>
        </w:rPr>
        <w:t xml:space="preserve">decrease in the proportion of women </w:t>
      </w:r>
      <w:r w:rsidR="0083380A" w:rsidRPr="00AD36D9">
        <w:rPr>
          <w:rFonts w:ascii="Times New Roman" w:hAnsi="Times New Roman" w:cs="Times New Roman"/>
          <w:sz w:val="24"/>
          <w:szCs w:val="24"/>
        </w:rPr>
        <w:t xml:space="preserve">taking a second year of high school physics as compared to men drives the </w:t>
      </w:r>
      <w:r w:rsidR="00A127C4" w:rsidRPr="00AD36D9">
        <w:rPr>
          <w:rFonts w:ascii="Times New Roman" w:hAnsi="Times New Roman" w:cs="Times New Roman"/>
          <w:sz w:val="24"/>
          <w:szCs w:val="24"/>
        </w:rPr>
        <w:t xml:space="preserve">two </w:t>
      </w:r>
      <w:r w:rsidR="0083380A" w:rsidRPr="00AD36D9">
        <w:rPr>
          <w:rFonts w:ascii="Times New Roman" w:hAnsi="Times New Roman" w:cs="Times New Roman"/>
          <w:sz w:val="24"/>
          <w:szCs w:val="24"/>
        </w:rPr>
        <w:t>central research question</w:t>
      </w:r>
      <w:r w:rsidR="00987C10" w:rsidRPr="00AD36D9">
        <w:rPr>
          <w:rFonts w:ascii="Times New Roman" w:hAnsi="Times New Roman" w:cs="Times New Roman"/>
          <w:sz w:val="24"/>
          <w:szCs w:val="24"/>
        </w:rPr>
        <w:t>s</w:t>
      </w:r>
      <w:r w:rsidR="0083380A" w:rsidRPr="00AD36D9">
        <w:rPr>
          <w:rFonts w:ascii="Times New Roman" w:hAnsi="Times New Roman" w:cs="Times New Roman"/>
          <w:sz w:val="24"/>
          <w:szCs w:val="24"/>
        </w:rPr>
        <w:t xml:space="preserve"> </w:t>
      </w:r>
      <w:r w:rsidR="00987C10" w:rsidRPr="00AD36D9">
        <w:rPr>
          <w:rFonts w:ascii="Times New Roman" w:hAnsi="Times New Roman" w:cs="Times New Roman"/>
          <w:sz w:val="24"/>
          <w:szCs w:val="24"/>
        </w:rPr>
        <w:t xml:space="preserve">in </w:t>
      </w:r>
      <w:r w:rsidR="0083380A" w:rsidRPr="00AD36D9">
        <w:rPr>
          <w:rFonts w:ascii="Times New Roman" w:hAnsi="Times New Roman" w:cs="Times New Roman"/>
          <w:sz w:val="24"/>
          <w:szCs w:val="24"/>
        </w:rPr>
        <w:t>this study</w:t>
      </w:r>
      <w:r w:rsidR="00010337">
        <w:rPr>
          <w:rFonts w:ascii="Times New Roman" w:hAnsi="Times New Roman" w:cs="Times New Roman"/>
          <w:sz w:val="24"/>
          <w:szCs w:val="24"/>
        </w:rPr>
        <w:t>:</w:t>
      </w:r>
      <w:r w:rsidR="00321556" w:rsidRPr="00AD36D9" w:rsidDel="00321556">
        <w:rPr>
          <w:rFonts w:ascii="Times New Roman" w:hAnsi="Times New Roman" w:cs="Times New Roman"/>
          <w:strike/>
          <w:sz w:val="24"/>
          <w:szCs w:val="24"/>
        </w:rPr>
        <w:t xml:space="preserve"> </w:t>
      </w:r>
    </w:p>
    <w:p w14:paraId="4D7EF46C" w14:textId="3F47ABCD" w:rsidR="00647EAF" w:rsidRPr="00AD36D9" w:rsidRDefault="006B66F8" w:rsidP="00BA4A2D">
      <w:pPr>
        <w:widowControl w:val="0"/>
        <w:spacing w:after="0" w:line="480" w:lineRule="auto"/>
        <w:ind w:firstLine="720"/>
        <w:rPr>
          <w:rFonts w:ascii="Times New Roman" w:hAnsi="Times New Roman" w:cs="Times New Roman"/>
          <w:sz w:val="24"/>
          <w:szCs w:val="24"/>
        </w:rPr>
      </w:pPr>
      <w:r w:rsidRPr="00AD36D9">
        <w:rPr>
          <w:rFonts w:ascii="Times New Roman" w:hAnsi="Times New Roman" w:cs="Times New Roman"/>
          <w:sz w:val="24"/>
          <w:szCs w:val="24"/>
        </w:rPr>
        <w:t>R</w:t>
      </w:r>
      <w:r w:rsidR="00034B6F" w:rsidRPr="00AD36D9">
        <w:rPr>
          <w:rFonts w:ascii="Times New Roman" w:hAnsi="Times New Roman" w:cs="Times New Roman"/>
          <w:sz w:val="24"/>
          <w:szCs w:val="24"/>
        </w:rPr>
        <w:t>Q #</w:t>
      </w:r>
      <w:r w:rsidR="00647EAF" w:rsidRPr="00AD36D9">
        <w:rPr>
          <w:rFonts w:ascii="Times New Roman" w:hAnsi="Times New Roman" w:cs="Times New Roman"/>
          <w:sz w:val="24"/>
          <w:szCs w:val="24"/>
        </w:rPr>
        <w:t>1</w:t>
      </w:r>
      <w:r w:rsidR="003B0E11" w:rsidRPr="00AD36D9">
        <w:rPr>
          <w:rFonts w:ascii="Times New Roman" w:hAnsi="Times New Roman" w:cs="Times New Roman"/>
          <w:sz w:val="24"/>
          <w:szCs w:val="24"/>
        </w:rPr>
        <w:t xml:space="preserve">: </w:t>
      </w:r>
      <w:r w:rsidR="005862FC" w:rsidRPr="00AD36D9">
        <w:rPr>
          <w:rFonts w:ascii="Times New Roman" w:hAnsi="Times New Roman" w:cs="Times New Roman"/>
          <w:sz w:val="24"/>
          <w:szCs w:val="24"/>
        </w:rPr>
        <w:t xml:space="preserve">Is self-efficacy a significant predictor of enrollment decision of high school students in </w:t>
      </w:r>
      <w:r w:rsidR="008159B8">
        <w:rPr>
          <w:rFonts w:ascii="Times New Roman" w:hAnsi="Times New Roman" w:cs="Times New Roman"/>
          <w:sz w:val="24"/>
          <w:szCs w:val="24"/>
        </w:rPr>
        <w:t>second-year physics</w:t>
      </w:r>
      <w:r w:rsidR="005862FC" w:rsidRPr="00AD36D9">
        <w:rPr>
          <w:rFonts w:ascii="Times New Roman" w:hAnsi="Times New Roman" w:cs="Times New Roman"/>
          <w:sz w:val="24"/>
          <w:szCs w:val="24"/>
        </w:rPr>
        <w:t>?</w:t>
      </w:r>
      <w:r w:rsidR="000F764A" w:rsidRPr="00AD36D9">
        <w:rPr>
          <w:rFonts w:ascii="Times New Roman" w:hAnsi="Times New Roman" w:cs="Times New Roman"/>
          <w:sz w:val="24"/>
          <w:szCs w:val="24"/>
        </w:rPr>
        <w:t xml:space="preserve"> </w:t>
      </w:r>
    </w:p>
    <w:p w14:paraId="6A02F45C" w14:textId="3B96BB94" w:rsidR="00647EAF" w:rsidRPr="00AD36D9" w:rsidRDefault="006B66F8" w:rsidP="00BA4A2D">
      <w:pPr>
        <w:widowControl w:val="0"/>
        <w:spacing w:after="0" w:line="480" w:lineRule="auto"/>
        <w:ind w:firstLine="720"/>
        <w:rPr>
          <w:rFonts w:ascii="Times New Roman" w:hAnsi="Times New Roman" w:cs="Times New Roman"/>
          <w:sz w:val="24"/>
          <w:szCs w:val="24"/>
        </w:rPr>
      </w:pPr>
      <w:r w:rsidRPr="00AD36D9">
        <w:rPr>
          <w:rFonts w:ascii="Times New Roman" w:hAnsi="Times New Roman" w:cs="Times New Roman"/>
          <w:sz w:val="24"/>
          <w:szCs w:val="24"/>
        </w:rPr>
        <w:t>R</w:t>
      </w:r>
      <w:r w:rsidR="00034B6F" w:rsidRPr="00AD36D9">
        <w:rPr>
          <w:rFonts w:ascii="Times New Roman" w:hAnsi="Times New Roman" w:cs="Times New Roman"/>
          <w:sz w:val="24"/>
          <w:szCs w:val="24"/>
        </w:rPr>
        <w:t>Q #</w:t>
      </w:r>
      <w:r w:rsidR="00647EAF" w:rsidRPr="00AD36D9">
        <w:rPr>
          <w:rFonts w:ascii="Times New Roman" w:hAnsi="Times New Roman" w:cs="Times New Roman"/>
          <w:sz w:val="24"/>
          <w:szCs w:val="24"/>
        </w:rPr>
        <w:t>2</w:t>
      </w:r>
      <w:r w:rsidR="003B0E11" w:rsidRPr="00AD36D9">
        <w:rPr>
          <w:rFonts w:ascii="Times New Roman" w:hAnsi="Times New Roman" w:cs="Times New Roman"/>
          <w:sz w:val="24"/>
          <w:szCs w:val="24"/>
        </w:rPr>
        <w:t xml:space="preserve">: </w:t>
      </w:r>
      <w:r w:rsidR="00987C10" w:rsidRPr="00AD36D9">
        <w:rPr>
          <w:rFonts w:ascii="Times New Roman" w:hAnsi="Times New Roman" w:cs="Times New Roman"/>
          <w:sz w:val="24"/>
          <w:szCs w:val="24"/>
        </w:rPr>
        <w:t xml:space="preserve">Are there significant differences between men and women </w:t>
      </w:r>
      <w:r w:rsidR="00036FB8" w:rsidRPr="00AD36D9">
        <w:rPr>
          <w:rFonts w:ascii="Times New Roman" w:hAnsi="Times New Roman" w:cs="Times New Roman"/>
          <w:sz w:val="24"/>
          <w:szCs w:val="24"/>
        </w:rPr>
        <w:t>o</w:t>
      </w:r>
      <w:r w:rsidR="00C22493" w:rsidRPr="00AD36D9">
        <w:rPr>
          <w:rFonts w:ascii="Times New Roman" w:hAnsi="Times New Roman" w:cs="Times New Roman"/>
          <w:sz w:val="24"/>
          <w:szCs w:val="24"/>
        </w:rPr>
        <w:t>n the impact of self-efficacy o</w:t>
      </w:r>
      <w:r w:rsidR="00987C10" w:rsidRPr="00AD36D9">
        <w:rPr>
          <w:rFonts w:ascii="Times New Roman" w:hAnsi="Times New Roman" w:cs="Times New Roman"/>
          <w:sz w:val="24"/>
          <w:szCs w:val="24"/>
        </w:rPr>
        <w:t>n second year high school physics enrollment</w:t>
      </w:r>
      <w:r w:rsidR="00B95D92" w:rsidRPr="00AD36D9">
        <w:rPr>
          <w:rFonts w:ascii="Times New Roman" w:hAnsi="Times New Roman" w:cs="Times New Roman"/>
          <w:sz w:val="24"/>
          <w:szCs w:val="24"/>
        </w:rPr>
        <w:t xml:space="preserve"> decision</w:t>
      </w:r>
      <w:r w:rsidR="00987C10" w:rsidRPr="00AD36D9">
        <w:rPr>
          <w:rFonts w:ascii="Times New Roman" w:hAnsi="Times New Roman" w:cs="Times New Roman"/>
          <w:sz w:val="24"/>
          <w:szCs w:val="24"/>
        </w:rPr>
        <w:t>?</w:t>
      </w:r>
    </w:p>
    <w:p w14:paraId="26660371" w14:textId="77777777" w:rsidR="004B5398" w:rsidRPr="00AD36D9" w:rsidRDefault="004B5398" w:rsidP="003F7FE4">
      <w:pPr>
        <w:pStyle w:val="Heading2"/>
      </w:pPr>
      <w:bookmarkStart w:id="6" w:name="_Toc349720623"/>
      <w:bookmarkStart w:id="7" w:name="_Toc350241667"/>
      <w:bookmarkStart w:id="8" w:name="_Toc351528688"/>
      <w:bookmarkStart w:id="9" w:name="_Toc117501909"/>
      <w:r w:rsidRPr="00AD36D9">
        <w:t>Rationale for Methodology</w:t>
      </w:r>
      <w:bookmarkEnd w:id="6"/>
      <w:bookmarkEnd w:id="7"/>
      <w:bookmarkEnd w:id="8"/>
      <w:bookmarkEnd w:id="9"/>
      <w:r w:rsidRPr="00AD36D9">
        <w:t xml:space="preserve"> </w:t>
      </w:r>
    </w:p>
    <w:p w14:paraId="083E0A1B" w14:textId="2255CC67" w:rsidR="00A127C4" w:rsidRPr="00AD36D9" w:rsidRDefault="00FF7DEE" w:rsidP="00BA4A2D">
      <w:pPr>
        <w:widowControl w:val="0"/>
        <w:spacing w:after="0" w:line="480" w:lineRule="auto"/>
        <w:ind w:firstLine="720"/>
        <w:rPr>
          <w:rFonts w:ascii="Times New Roman" w:hAnsi="Times New Roman" w:cs="Times New Roman"/>
          <w:sz w:val="24"/>
          <w:szCs w:val="24"/>
        </w:rPr>
      </w:pPr>
      <w:r w:rsidRPr="005B2E77">
        <w:rPr>
          <w:rFonts w:ascii="Times New Roman" w:hAnsi="Times New Roman" w:cs="Times New Roman"/>
          <w:sz w:val="24"/>
          <w:szCs w:val="24"/>
        </w:rPr>
        <w:t xml:space="preserve">Quantitative correlational research using </w:t>
      </w:r>
      <w:r>
        <w:rPr>
          <w:rFonts w:ascii="Times New Roman" w:hAnsi="Times New Roman" w:cs="Times New Roman"/>
          <w:sz w:val="24"/>
          <w:szCs w:val="24"/>
        </w:rPr>
        <w:t>l</w:t>
      </w:r>
      <w:r w:rsidR="00A127C4" w:rsidRPr="00AD36D9">
        <w:rPr>
          <w:rFonts w:ascii="Times New Roman" w:hAnsi="Times New Roman" w:cs="Times New Roman"/>
          <w:sz w:val="24"/>
          <w:szCs w:val="24"/>
        </w:rPr>
        <w:t xml:space="preserve">ogistic regression </w:t>
      </w:r>
      <w:r w:rsidR="00C607A9">
        <w:rPr>
          <w:rFonts w:ascii="Times New Roman" w:hAnsi="Times New Roman" w:cs="Times New Roman"/>
          <w:sz w:val="24"/>
          <w:szCs w:val="24"/>
        </w:rPr>
        <w:t>was</w:t>
      </w:r>
      <w:r w:rsidR="00C607A9" w:rsidRPr="00AD36D9">
        <w:rPr>
          <w:rFonts w:ascii="Times New Roman" w:hAnsi="Times New Roman" w:cs="Times New Roman"/>
          <w:sz w:val="24"/>
          <w:szCs w:val="24"/>
        </w:rPr>
        <w:t xml:space="preserve"> </w:t>
      </w:r>
      <w:r w:rsidR="00A127C4" w:rsidRPr="00AD36D9">
        <w:rPr>
          <w:rFonts w:ascii="Times New Roman" w:hAnsi="Times New Roman" w:cs="Times New Roman"/>
          <w:sz w:val="24"/>
          <w:szCs w:val="24"/>
        </w:rPr>
        <w:t xml:space="preserve">an appropriate choice for </w:t>
      </w:r>
      <w:r w:rsidR="00A127C4" w:rsidRPr="00AD36D9">
        <w:rPr>
          <w:rFonts w:ascii="Times New Roman" w:hAnsi="Times New Roman" w:cs="Times New Roman"/>
          <w:sz w:val="24"/>
          <w:szCs w:val="24"/>
        </w:rPr>
        <w:lastRenderedPageBreak/>
        <w:t xml:space="preserve">this study given that the dependent variable </w:t>
      </w:r>
      <w:r w:rsidR="003D0856" w:rsidRPr="00AD36D9">
        <w:rPr>
          <w:rFonts w:ascii="Times New Roman" w:hAnsi="Times New Roman" w:cs="Times New Roman"/>
          <w:sz w:val="24"/>
          <w:szCs w:val="24"/>
        </w:rPr>
        <w:t xml:space="preserve">(i.e., enroll or not enroll) </w:t>
      </w:r>
      <w:r w:rsidR="00A127C4" w:rsidRPr="00AD36D9">
        <w:rPr>
          <w:rFonts w:ascii="Times New Roman" w:hAnsi="Times New Roman" w:cs="Times New Roman"/>
          <w:sz w:val="24"/>
          <w:szCs w:val="24"/>
        </w:rPr>
        <w:t>is categori</w:t>
      </w:r>
      <w:r w:rsidR="00F6571F" w:rsidRPr="00AD36D9">
        <w:rPr>
          <w:rFonts w:ascii="Times New Roman" w:hAnsi="Times New Roman" w:cs="Times New Roman"/>
          <w:sz w:val="24"/>
          <w:szCs w:val="24"/>
        </w:rPr>
        <w:t>cal (Mertler &amp; Vannatta, 2013).</w:t>
      </w:r>
      <w:r w:rsidR="00A127C4" w:rsidRPr="00AD36D9">
        <w:rPr>
          <w:rFonts w:ascii="Times New Roman" w:hAnsi="Times New Roman" w:cs="Times New Roman"/>
          <w:sz w:val="24"/>
          <w:szCs w:val="24"/>
        </w:rPr>
        <w:t xml:space="preserve"> </w:t>
      </w:r>
      <w:r w:rsidR="00C655FD" w:rsidRPr="00AD36D9">
        <w:rPr>
          <w:rFonts w:ascii="Times New Roman" w:hAnsi="Times New Roman" w:cs="Times New Roman"/>
          <w:sz w:val="24"/>
          <w:szCs w:val="24"/>
        </w:rPr>
        <w:t>This study include</w:t>
      </w:r>
      <w:r w:rsidR="00C607A9">
        <w:rPr>
          <w:rFonts w:ascii="Times New Roman" w:hAnsi="Times New Roman" w:cs="Times New Roman"/>
          <w:sz w:val="24"/>
          <w:szCs w:val="24"/>
        </w:rPr>
        <w:t>d</w:t>
      </w:r>
      <w:r w:rsidR="00C655FD" w:rsidRPr="00AD36D9">
        <w:rPr>
          <w:rFonts w:ascii="Times New Roman" w:hAnsi="Times New Roman" w:cs="Times New Roman"/>
          <w:sz w:val="24"/>
          <w:szCs w:val="24"/>
        </w:rPr>
        <w:t xml:space="preserve"> </w:t>
      </w:r>
      <w:r w:rsidR="007C122E" w:rsidRPr="00AD36D9">
        <w:rPr>
          <w:rFonts w:ascii="Times New Roman" w:hAnsi="Times New Roman" w:cs="Times New Roman"/>
          <w:sz w:val="24"/>
          <w:szCs w:val="24"/>
        </w:rPr>
        <w:t>the</w:t>
      </w:r>
      <w:r w:rsidR="00C655FD" w:rsidRPr="00AD36D9">
        <w:rPr>
          <w:rFonts w:ascii="Times New Roman" w:hAnsi="Times New Roman" w:cs="Times New Roman"/>
          <w:sz w:val="24"/>
          <w:szCs w:val="24"/>
        </w:rPr>
        <w:t xml:space="preserve"> independent variables</w:t>
      </w:r>
      <w:r w:rsidR="008A6B23">
        <w:rPr>
          <w:rFonts w:ascii="Times New Roman" w:hAnsi="Times New Roman" w:cs="Times New Roman"/>
          <w:sz w:val="24"/>
          <w:szCs w:val="24"/>
        </w:rPr>
        <w:t xml:space="preserve"> of</w:t>
      </w:r>
      <w:r w:rsidR="00C655FD" w:rsidRPr="00AD36D9">
        <w:rPr>
          <w:rFonts w:ascii="Times New Roman" w:hAnsi="Times New Roman" w:cs="Times New Roman"/>
          <w:sz w:val="24"/>
          <w:szCs w:val="24"/>
        </w:rPr>
        <w:t xml:space="preserve"> gender (categorical)</w:t>
      </w:r>
      <w:r w:rsidR="007C122E" w:rsidRPr="00AD36D9">
        <w:rPr>
          <w:rFonts w:ascii="Times New Roman" w:hAnsi="Times New Roman" w:cs="Times New Roman"/>
          <w:sz w:val="24"/>
          <w:szCs w:val="24"/>
        </w:rPr>
        <w:t>, semester one grade (categorical), achievement on the Force Concepts Inventory (</w:t>
      </w:r>
      <w:r w:rsidR="00177FB0">
        <w:rPr>
          <w:rFonts w:ascii="Times New Roman" w:hAnsi="Times New Roman" w:cs="Times New Roman"/>
          <w:sz w:val="24"/>
          <w:szCs w:val="24"/>
        </w:rPr>
        <w:t xml:space="preserve">FCI, </w:t>
      </w:r>
      <w:r w:rsidR="007C122E" w:rsidRPr="00AD36D9">
        <w:rPr>
          <w:rFonts w:ascii="Times New Roman" w:hAnsi="Times New Roman" w:cs="Times New Roman"/>
          <w:sz w:val="24"/>
          <w:szCs w:val="24"/>
        </w:rPr>
        <w:t>continuous)</w:t>
      </w:r>
      <w:r w:rsidR="00C655FD" w:rsidRPr="00AD36D9">
        <w:rPr>
          <w:rFonts w:ascii="Times New Roman" w:hAnsi="Times New Roman" w:cs="Times New Roman"/>
          <w:sz w:val="24"/>
          <w:szCs w:val="24"/>
        </w:rPr>
        <w:t xml:space="preserve"> and </w:t>
      </w:r>
      <w:r w:rsidR="004644F8">
        <w:rPr>
          <w:rFonts w:ascii="Times New Roman" w:hAnsi="Times New Roman" w:cs="Times New Roman"/>
          <w:sz w:val="24"/>
          <w:szCs w:val="24"/>
        </w:rPr>
        <w:t>the four components</w:t>
      </w:r>
      <w:r w:rsidR="00C655FD" w:rsidRPr="00AD36D9">
        <w:rPr>
          <w:rFonts w:ascii="Times New Roman" w:hAnsi="Times New Roman" w:cs="Times New Roman"/>
          <w:sz w:val="24"/>
          <w:szCs w:val="24"/>
        </w:rPr>
        <w:t xml:space="preserve"> of self-efficacy (continuous)</w:t>
      </w:r>
      <w:r w:rsidR="00F6571F" w:rsidRPr="00AD36D9">
        <w:rPr>
          <w:rFonts w:ascii="Times New Roman" w:hAnsi="Times New Roman" w:cs="Times New Roman"/>
          <w:sz w:val="24"/>
          <w:szCs w:val="24"/>
        </w:rPr>
        <w:t>.</w:t>
      </w:r>
      <w:r w:rsidR="00C655FD" w:rsidRPr="00AD36D9">
        <w:rPr>
          <w:rFonts w:ascii="Times New Roman" w:hAnsi="Times New Roman" w:cs="Times New Roman"/>
          <w:sz w:val="24"/>
          <w:szCs w:val="24"/>
        </w:rPr>
        <w:t xml:space="preserve"> </w:t>
      </w:r>
      <w:r w:rsidR="004644F8">
        <w:rPr>
          <w:rFonts w:ascii="Times New Roman" w:hAnsi="Times New Roman" w:cs="Times New Roman"/>
          <w:sz w:val="24"/>
          <w:szCs w:val="24"/>
        </w:rPr>
        <w:t xml:space="preserve">These four components include: mastery experiences, vicarious experiences, social persuasion, and physiological state. </w:t>
      </w:r>
      <w:r w:rsidR="00220C9B" w:rsidRPr="00AD36D9">
        <w:rPr>
          <w:rFonts w:ascii="Times New Roman" w:hAnsi="Times New Roman" w:cs="Times New Roman"/>
          <w:sz w:val="24"/>
          <w:szCs w:val="24"/>
        </w:rPr>
        <w:t>In addition, the predictor variables in a logistic regression include no assumptions on their distributions. Normal distributions, linear relationships, and equal variances within groups are not required (Mertler &amp; Vannatta</w:t>
      </w:r>
      <w:r w:rsidR="00F6571F" w:rsidRPr="00AD36D9">
        <w:rPr>
          <w:rFonts w:ascii="Times New Roman" w:hAnsi="Times New Roman" w:cs="Times New Roman"/>
          <w:sz w:val="24"/>
          <w:szCs w:val="24"/>
        </w:rPr>
        <w:t xml:space="preserve">, 2013). </w:t>
      </w:r>
      <w:r w:rsidR="001A32BA" w:rsidRPr="00AD36D9">
        <w:rPr>
          <w:rFonts w:ascii="Times New Roman" w:hAnsi="Times New Roman" w:cs="Times New Roman"/>
          <w:sz w:val="24"/>
          <w:szCs w:val="24"/>
        </w:rPr>
        <w:t>This methodological approach addresse</w:t>
      </w:r>
      <w:r w:rsidR="00C607A9">
        <w:rPr>
          <w:rFonts w:ascii="Times New Roman" w:hAnsi="Times New Roman" w:cs="Times New Roman"/>
          <w:sz w:val="24"/>
          <w:szCs w:val="24"/>
        </w:rPr>
        <w:t>d</w:t>
      </w:r>
      <w:r w:rsidR="001A32BA" w:rsidRPr="00AD36D9">
        <w:rPr>
          <w:rFonts w:ascii="Times New Roman" w:hAnsi="Times New Roman" w:cs="Times New Roman"/>
          <w:sz w:val="24"/>
          <w:szCs w:val="24"/>
        </w:rPr>
        <w:t xml:space="preserve"> the research question while providing the necessary flexibility for the data analysis. </w:t>
      </w:r>
    </w:p>
    <w:p w14:paraId="0F0F3868" w14:textId="6ADD795C" w:rsidR="004B5398" w:rsidRPr="00166731" w:rsidRDefault="004B5398" w:rsidP="00BA4A2D">
      <w:pPr>
        <w:widowControl w:val="0"/>
        <w:spacing w:after="0" w:line="480" w:lineRule="auto"/>
        <w:ind w:firstLine="720"/>
        <w:rPr>
          <w:rFonts w:ascii="Times New Roman" w:hAnsi="Times New Roman" w:cs="Times New Roman"/>
          <w:sz w:val="24"/>
          <w:szCs w:val="24"/>
        </w:rPr>
      </w:pPr>
      <w:r w:rsidRPr="00AD36D9">
        <w:rPr>
          <w:rFonts w:ascii="Times New Roman" w:hAnsi="Times New Roman" w:cs="Times New Roman"/>
          <w:sz w:val="24"/>
          <w:szCs w:val="24"/>
        </w:rPr>
        <w:t xml:space="preserve">The setting for this study </w:t>
      </w:r>
      <w:r w:rsidR="00C607A9">
        <w:rPr>
          <w:rFonts w:ascii="Times New Roman" w:hAnsi="Times New Roman" w:cs="Times New Roman"/>
          <w:sz w:val="24"/>
          <w:szCs w:val="24"/>
        </w:rPr>
        <w:t>was</w:t>
      </w:r>
      <w:r w:rsidR="00C607A9"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a </w:t>
      </w:r>
      <w:r w:rsidR="00AA5FF0">
        <w:rPr>
          <w:rFonts w:ascii="Times New Roman" w:hAnsi="Times New Roman" w:cs="Times New Roman"/>
          <w:sz w:val="24"/>
          <w:szCs w:val="24"/>
        </w:rPr>
        <w:t>high school in Illinois</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Juniors enrolled in a first</w:t>
      </w:r>
      <w:r w:rsidR="008159B8">
        <w:rPr>
          <w:rFonts w:ascii="Times New Roman" w:hAnsi="Times New Roman" w:cs="Times New Roman"/>
          <w:sz w:val="24"/>
          <w:szCs w:val="24"/>
        </w:rPr>
        <w:t>-</w:t>
      </w:r>
      <w:r w:rsidRPr="00AD36D9">
        <w:rPr>
          <w:rFonts w:ascii="Times New Roman" w:hAnsi="Times New Roman" w:cs="Times New Roman"/>
          <w:sz w:val="24"/>
          <w:szCs w:val="24"/>
        </w:rPr>
        <w:t xml:space="preserve">year </w:t>
      </w:r>
      <w:r w:rsidR="008A6B23">
        <w:rPr>
          <w:rFonts w:ascii="Times New Roman" w:hAnsi="Times New Roman" w:cs="Times New Roman"/>
          <w:sz w:val="24"/>
          <w:szCs w:val="24"/>
        </w:rPr>
        <w:t>AP</w:t>
      </w:r>
      <w:r w:rsidRPr="00AD36D9">
        <w:rPr>
          <w:rFonts w:ascii="Times New Roman" w:hAnsi="Times New Roman" w:cs="Times New Roman"/>
          <w:sz w:val="24"/>
          <w:szCs w:val="24"/>
        </w:rPr>
        <w:t xml:space="preserve"> physics course </w:t>
      </w:r>
      <w:r w:rsidR="00C607A9">
        <w:rPr>
          <w:rFonts w:ascii="Times New Roman" w:hAnsi="Times New Roman" w:cs="Times New Roman"/>
          <w:sz w:val="24"/>
          <w:szCs w:val="24"/>
        </w:rPr>
        <w:t>were</w:t>
      </w:r>
      <w:r w:rsidRPr="00AD36D9">
        <w:rPr>
          <w:rFonts w:ascii="Times New Roman" w:hAnsi="Times New Roman" w:cs="Times New Roman"/>
          <w:sz w:val="24"/>
          <w:szCs w:val="24"/>
        </w:rPr>
        <w:t xml:space="preserve"> purposefully sampled</w:t>
      </w:r>
      <w:r w:rsidR="00736F31" w:rsidRPr="00AD36D9">
        <w:rPr>
          <w:rFonts w:ascii="Times New Roman" w:hAnsi="Times New Roman" w:cs="Times New Roman"/>
          <w:sz w:val="24"/>
          <w:szCs w:val="24"/>
        </w:rPr>
        <w:t xml:space="preserve">. </w:t>
      </w:r>
      <w:r w:rsidR="00166731">
        <w:rPr>
          <w:rFonts w:ascii="Times New Roman" w:hAnsi="Times New Roman" w:cs="Times New Roman"/>
          <w:sz w:val="24"/>
          <w:szCs w:val="24"/>
        </w:rPr>
        <w:t>Purposeful sampling best describes the sampling method chosen for this sampling frame. The researcher not only chos</w:t>
      </w:r>
      <w:r w:rsidR="0050798B">
        <w:rPr>
          <w:rFonts w:ascii="Times New Roman" w:hAnsi="Times New Roman" w:cs="Times New Roman"/>
          <w:sz w:val="24"/>
          <w:szCs w:val="24"/>
        </w:rPr>
        <w:t>e</w:t>
      </w:r>
      <w:r w:rsidR="00166731">
        <w:rPr>
          <w:rFonts w:ascii="Times New Roman" w:hAnsi="Times New Roman" w:cs="Times New Roman"/>
          <w:sz w:val="24"/>
          <w:szCs w:val="24"/>
        </w:rPr>
        <w:t xml:space="preserve"> participants readily available, but also those with specific common characteristics for this study. The participants </w:t>
      </w:r>
      <w:r w:rsidR="00E43ED2">
        <w:rPr>
          <w:rFonts w:ascii="Times New Roman" w:hAnsi="Times New Roman" w:cs="Times New Roman"/>
          <w:sz w:val="24"/>
          <w:szCs w:val="24"/>
        </w:rPr>
        <w:t xml:space="preserve">had </w:t>
      </w:r>
      <w:r w:rsidR="00166731">
        <w:rPr>
          <w:rFonts w:ascii="Times New Roman" w:hAnsi="Times New Roman" w:cs="Times New Roman"/>
          <w:sz w:val="24"/>
          <w:szCs w:val="24"/>
        </w:rPr>
        <w:t xml:space="preserve">chosen to enroll in a first year of high school physics. </w:t>
      </w:r>
      <w:r w:rsidRPr="00AD36D9">
        <w:rPr>
          <w:rFonts w:ascii="Times New Roman" w:hAnsi="Times New Roman" w:cs="Times New Roman"/>
          <w:sz w:val="24"/>
          <w:szCs w:val="24"/>
        </w:rPr>
        <w:t xml:space="preserve">This choice </w:t>
      </w:r>
      <w:r w:rsidR="00E43ED2">
        <w:rPr>
          <w:rFonts w:ascii="Times New Roman" w:hAnsi="Times New Roman" w:cs="Times New Roman"/>
          <w:sz w:val="24"/>
          <w:szCs w:val="24"/>
        </w:rPr>
        <w:t>placed</w:t>
      </w:r>
      <w:r w:rsidRPr="00AD36D9">
        <w:rPr>
          <w:rFonts w:ascii="Times New Roman" w:hAnsi="Times New Roman" w:cs="Times New Roman"/>
          <w:sz w:val="24"/>
          <w:szCs w:val="24"/>
        </w:rPr>
        <w:t xml:space="preserve"> a degree of limitation on generalization of results, or how well the researcher can say with confidence that the participants are representative of the population (Creswell &amp; Guetterman, 2015)</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Students in the sample </w:t>
      </w:r>
      <w:r w:rsidR="00E43ED2">
        <w:rPr>
          <w:rFonts w:ascii="Times New Roman" w:hAnsi="Times New Roman" w:cs="Times New Roman"/>
          <w:sz w:val="24"/>
          <w:szCs w:val="24"/>
        </w:rPr>
        <w:t>were</w:t>
      </w:r>
      <w:r w:rsidR="00E43ED2" w:rsidRPr="00AD36D9">
        <w:rPr>
          <w:rFonts w:ascii="Times New Roman" w:hAnsi="Times New Roman" w:cs="Times New Roman"/>
          <w:sz w:val="24"/>
          <w:szCs w:val="24"/>
        </w:rPr>
        <w:t xml:space="preserve"> </w:t>
      </w:r>
      <w:r w:rsidRPr="00AD36D9">
        <w:rPr>
          <w:rFonts w:ascii="Times New Roman" w:hAnsi="Times New Roman" w:cs="Times New Roman"/>
          <w:sz w:val="24"/>
          <w:szCs w:val="24"/>
        </w:rPr>
        <w:t>located at the high school in which the researcher is employed</w:t>
      </w:r>
      <w:r w:rsidR="0050798B">
        <w:rPr>
          <w:rFonts w:ascii="Times New Roman" w:hAnsi="Times New Roman" w:cs="Times New Roman"/>
          <w:sz w:val="24"/>
          <w:szCs w:val="24"/>
        </w:rPr>
        <w:t>,</w:t>
      </w:r>
      <w:r w:rsidRPr="00AD36D9">
        <w:rPr>
          <w:rFonts w:ascii="Times New Roman" w:hAnsi="Times New Roman" w:cs="Times New Roman"/>
          <w:sz w:val="24"/>
          <w:szCs w:val="24"/>
        </w:rPr>
        <w:t xml:space="preserve"> contributing to the convenience or access to participants</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All students taking AP Physics 1 </w:t>
      </w:r>
      <w:r w:rsidR="00E43ED2">
        <w:rPr>
          <w:rFonts w:ascii="Times New Roman" w:hAnsi="Times New Roman" w:cs="Times New Roman"/>
          <w:sz w:val="24"/>
          <w:szCs w:val="24"/>
        </w:rPr>
        <w:t>were invited to participate</w:t>
      </w:r>
      <w:r w:rsidRPr="00AD36D9">
        <w:rPr>
          <w:rFonts w:ascii="Times New Roman" w:hAnsi="Times New Roman" w:cs="Times New Roman"/>
          <w:sz w:val="24"/>
          <w:szCs w:val="24"/>
        </w:rPr>
        <w:t xml:space="preserve"> in the study </w:t>
      </w:r>
      <w:r w:rsidR="00E43ED2">
        <w:rPr>
          <w:rFonts w:ascii="Times New Roman" w:hAnsi="Times New Roman" w:cs="Times New Roman"/>
          <w:sz w:val="24"/>
          <w:szCs w:val="24"/>
        </w:rPr>
        <w:t xml:space="preserve">and were included </w:t>
      </w:r>
      <w:r w:rsidRPr="00AD36D9">
        <w:rPr>
          <w:rFonts w:ascii="Times New Roman" w:hAnsi="Times New Roman" w:cs="Times New Roman"/>
          <w:sz w:val="24"/>
          <w:szCs w:val="24"/>
        </w:rPr>
        <w:t>upon parental and participant consent</w:t>
      </w:r>
      <w:r w:rsidR="00321556" w:rsidRPr="00AD36D9">
        <w:rPr>
          <w:rFonts w:ascii="Times New Roman" w:hAnsi="Times New Roman" w:cs="Times New Roman"/>
          <w:sz w:val="24"/>
          <w:szCs w:val="24"/>
        </w:rPr>
        <w:t>.</w:t>
      </w:r>
      <w:r w:rsidRPr="005B2E77">
        <w:rPr>
          <w:rFonts w:ascii="Times New Roman" w:hAnsi="Times New Roman" w:cs="Times New Roman"/>
          <w:strike/>
          <w:sz w:val="24"/>
          <w:szCs w:val="24"/>
        </w:rPr>
        <w:t xml:space="preserve"> </w:t>
      </w:r>
    </w:p>
    <w:p w14:paraId="7C88060F" w14:textId="4A2633D4" w:rsidR="00003281" w:rsidRDefault="003D0856" w:rsidP="00BA4A2D">
      <w:pPr>
        <w:widowControl w:val="0"/>
        <w:spacing w:after="0" w:line="480" w:lineRule="auto"/>
        <w:ind w:firstLine="720"/>
        <w:rPr>
          <w:rFonts w:ascii="Times New Roman" w:hAnsi="Times New Roman" w:cs="Times New Roman"/>
          <w:color w:val="000000"/>
          <w:sz w:val="24"/>
          <w:szCs w:val="24"/>
          <w:shd w:val="clear" w:color="auto" w:fill="FFFFFF"/>
        </w:rPr>
      </w:pPr>
      <w:r w:rsidRPr="00AD36D9">
        <w:rPr>
          <w:rFonts w:ascii="Times New Roman" w:hAnsi="Times New Roman" w:cs="Times New Roman"/>
          <w:sz w:val="24"/>
          <w:szCs w:val="24"/>
        </w:rPr>
        <w:t>The study utilize</w:t>
      </w:r>
      <w:r w:rsidR="00CD3127">
        <w:rPr>
          <w:rFonts w:ascii="Times New Roman" w:hAnsi="Times New Roman" w:cs="Times New Roman"/>
          <w:sz w:val="24"/>
          <w:szCs w:val="24"/>
        </w:rPr>
        <w:t>d</w:t>
      </w:r>
      <w:r w:rsidRPr="00AD36D9">
        <w:rPr>
          <w:rFonts w:ascii="Times New Roman" w:hAnsi="Times New Roman" w:cs="Times New Roman"/>
          <w:sz w:val="24"/>
          <w:szCs w:val="24"/>
        </w:rPr>
        <w:t xml:space="preserve"> the </w:t>
      </w:r>
      <w:r w:rsidR="005E20AB" w:rsidRPr="00AD36D9">
        <w:rPr>
          <w:rFonts w:ascii="Times New Roman" w:hAnsi="Times New Roman" w:cs="Times New Roman"/>
          <w:sz w:val="24"/>
          <w:szCs w:val="24"/>
        </w:rPr>
        <w:t>Sources of Self-Efficacy in Science Courses</w:t>
      </w:r>
      <w:r w:rsidR="005E20AB">
        <w:rPr>
          <w:rFonts w:ascii="Times New Roman" w:hAnsi="Times New Roman" w:cs="Times New Roman"/>
          <w:color w:val="000000"/>
          <w:sz w:val="24"/>
          <w:szCs w:val="24"/>
          <w:shd w:val="clear" w:color="auto" w:fill="FFFFFF"/>
        </w:rPr>
        <w:t xml:space="preserve"> - </w:t>
      </w:r>
      <w:r w:rsidR="005E20AB" w:rsidRPr="00AD36D9">
        <w:rPr>
          <w:rFonts w:ascii="Times New Roman" w:hAnsi="Times New Roman" w:cs="Times New Roman"/>
          <w:sz w:val="24"/>
          <w:szCs w:val="24"/>
        </w:rPr>
        <w:t xml:space="preserve">Physics </w:t>
      </w:r>
      <w:r w:rsidR="004B5398" w:rsidRPr="00AD36D9">
        <w:rPr>
          <w:rFonts w:ascii="Times New Roman" w:hAnsi="Times New Roman" w:cs="Times New Roman"/>
          <w:color w:val="000000"/>
          <w:sz w:val="24"/>
          <w:szCs w:val="24"/>
          <w:shd w:val="clear" w:color="auto" w:fill="FFFFFF"/>
        </w:rPr>
        <w:t>(SOSESC-P)</w:t>
      </w:r>
      <w:r w:rsidR="00BB3D37" w:rsidRPr="00AD36D9">
        <w:rPr>
          <w:rFonts w:ascii="Times New Roman" w:hAnsi="Times New Roman" w:cs="Times New Roman"/>
          <w:color w:val="000000"/>
          <w:sz w:val="24"/>
          <w:szCs w:val="24"/>
          <w:shd w:val="clear" w:color="auto" w:fill="FFFFFF"/>
        </w:rPr>
        <w:t xml:space="preserve"> </w:t>
      </w:r>
      <w:r w:rsidR="008A6B23" w:rsidRPr="00AD36D9">
        <w:rPr>
          <w:rFonts w:ascii="Times New Roman" w:hAnsi="Times New Roman" w:cs="Times New Roman"/>
          <w:color w:val="000000"/>
          <w:sz w:val="24"/>
          <w:szCs w:val="24"/>
          <w:shd w:val="clear" w:color="auto" w:fill="FFFFFF"/>
        </w:rPr>
        <w:t>survey and</w:t>
      </w:r>
      <w:r w:rsidR="00CD3127">
        <w:rPr>
          <w:rFonts w:ascii="Times New Roman" w:hAnsi="Times New Roman" w:cs="Times New Roman"/>
          <w:color w:val="000000"/>
          <w:sz w:val="24"/>
          <w:szCs w:val="24"/>
          <w:shd w:val="clear" w:color="auto" w:fill="FFFFFF"/>
        </w:rPr>
        <w:t xml:space="preserve"> was </w:t>
      </w:r>
      <w:r w:rsidRPr="00AD36D9">
        <w:rPr>
          <w:rFonts w:ascii="Times New Roman" w:hAnsi="Times New Roman" w:cs="Times New Roman"/>
          <w:color w:val="000000"/>
          <w:sz w:val="24"/>
          <w:szCs w:val="24"/>
          <w:shd w:val="clear" w:color="auto" w:fill="FFFFFF"/>
        </w:rPr>
        <w:t>administered to</w:t>
      </w:r>
      <w:r w:rsidR="004B5398" w:rsidRPr="00AD36D9">
        <w:rPr>
          <w:rFonts w:ascii="Times New Roman" w:hAnsi="Times New Roman" w:cs="Times New Roman"/>
          <w:color w:val="000000"/>
          <w:sz w:val="24"/>
          <w:szCs w:val="24"/>
          <w:shd w:val="clear" w:color="auto" w:fill="FFFFFF"/>
        </w:rPr>
        <w:t xml:space="preserve"> </w:t>
      </w:r>
      <w:r w:rsidR="00CE519A">
        <w:rPr>
          <w:rFonts w:ascii="Times New Roman" w:hAnsi="Times New Roman" w:cs="Times New Roman"/>
          <w:color w:val="000000"/>
          <w:sz w:val="24"/>
          <w:szCs w:val="24"/>
          <w:shd w:val="clear" w:color="auto" w:fill="FFFFFF"/>
        </w:rPr>
        <w:t>138</w:t>
      </w:r>
      <w:r w:rsidR="004B5398" w:rsidRPr="00AD36D9">
        <w:rPr>
          <w:rFonts w:ascii="Times New Roman" w:hAnsi="Times New Roman" w:cs="Times New Roman"/>
          <w:color w:val="000000"/>
          <w:sz w:val="24"/>
          <w:szCs w:val="24"/>
          <w:shd w:val="clear" w:color="auto" w:fill="FFFFFF"/>
        </w:rPr>
        <w:t xml:space="preserve"> </w:t>
      </w:r>
      <w:r w:rsidR="00BD1BF8" w:rsidRPr="00AD36D9">
        <w:rPr>
          <w:rFonts w:ascii="Times New Roman" w:hAnsi="Times New Roman" w:cs="Times New Roman"/>
          <w:color w:val="000000"/>
          <w:sz w:val="24"/>
          <w:szCs w:val="24"/>
          <w:shd w:val="clear" w:color="auto" w:fill="FFFFFF"/>
        </w:rPr>
        <w:t xml:space="preserve">AP Physics 1 </w:t>
      </w:r>
      <w:r w:rsidR="004B5398" w:rsidRPr="00AD36D9">
        <w:rPr>
          <w:rFonts w:ascii="Times New Roman" w:hAnsi="Times New Roman" w:cs="Times New Roman"/>
          <w:color w:val="000000"/>
          <w:sz w:val="24"/>
          <w:szCs w:val="24"/>
          <w:shd w:val="clear" w:color="auto" w:fill="FFFFFF"/>
        </w:rPr>
        <w:t>students</w:t>
      </w:r>
      <w:r w:rsidR="00736F31" w:rsidRPr="00AD36D9">
        <w:rPr>
          <w:rFonts w:ascii="Times New Roman" w:hAnsi="Times New Roman" w:cs="Times New Roman"/>
          <w:color w:val="000000"/>
          <w:sz w:val="24"/>
          <w:szCs w:val="24"/>
          <w:shd w:val="clear" w:color="auto" w:fill="FFFFFF"/>
        </w:rPr>
        <w:t xml:space="preserve">. </w:t>
      </w:r>
      <w:r w:rsidR="004B5398" w:rsidRPr="00AD36D9">
        <w:rPr>
          <w:rFonts w:ascii="Times New Roman" w:hAnsi="Times New Roman" w:cs="Times New Roman"/>
          <w:color w:val="000000"/>
          <w:sz w:val="24"/>
          <w:szCs w:val="24"/>
          <w:shd w:val="clear" w:color="auto" w:fill="FFFFFF"/>
        </w:rPr>
        <w:t>Demographic information and student</w:t>
      </w:r>
      <w:r w:rsidR="00591F5E">
        <w:rPr>
          <w:rFonts w:ascii="Times New Roman" w:hAnsi="Times New Roman" w:cs="Times New Roman"/>
          <w:color w:val="000000"/>
          <w:sz w:val="24"/>
          <w:szCs w:val="24"/>
          <w:shd w:val="clear" w:color="auto" w:fill="FFFFFF"/>
        </w:rPr>
        <w:t>s’</w:t>
      </w:r>
      <w:r w:rsidR="004B5398" w:rsidRPr="00AD36D9">
        <w:rPr>
          <w:rFonts w:ascii="Times New Roman" w:hAnsi="Times New Roman" w:cs="Times New Roman"/>
          <w:color w:val="000000"/>
          <w:sz w:val="24"/>
          <w:szCs w:val="24"/>
          <w:shd w:val="clear" w:color="auto" w:fill="FFFFFF"/>
        </w:rPr>
        <w:t xml:space="preserve"> </w:t>
      </w:r>
      <w:r w:rsidR="00C655FD" w:rsidRPr="00AD36D9">
        <w:rPr>
          <w:rFonts w:ascii="Times New Roman" w:hAnsi="Times New Roman" w:cs="Times New Roman"/>
          <w:color w:val="000000"/>
          <w:sz w:val="24"/>
          <w:szCs w:val="24"/>
          <w:shd w:val="clear" w:color="auto" w:fill="FFFFFF"/>
        </w:rPr>
        <w:t>decisions to enroll in physics</w:t>
      </w:r>
      <w:r w:rsidR="004B5398" w:rsidRPr="00AD36D9">
        <w:rPr>
          <w:rFonts w:ascii="Times New Roman" w:hAnsi="Times New Roman" w:cs="Times New Roman"/>
          <w:color w:val="000000"/>
          <w:sz w:val="24"/>
          <w:szCs w:val="24"/>
          <w:shd w:val="clear" w:color="auto" w:fill="FFFFFF"/>
        </w:rPr>
        <w:t xml:space="preserve"> for their senior year </w:t>
      </w:r>
      <w:r w:rsidR="00591F5E">
        <w:rPr>
          <w:rFonts w:ascii="Times New Roman" w:hAnsi="Times New Roman" w:cs="Times New Roman"/>
          <w:color w:val="000000"/>
          <w:sz w:val="24"/>
          <w:szCs w:val="24"/>
          <w:shd w:val="clear" w:color="auto" w:fill="FFFFFF"/>
        </w:rPr>
        <w:t>were</w:t>
      </w:r>
      <w:r w:rsidR="00591F5E" w:rsidRPr="00AD36D9">
        <w:rPr>
          <w:rFonts w:ascii="Times New Roman" w:hAnsi="Times New Roman" w:cs="Times New Roman"/>
          <w:color w:val="000000"/>
          <w:sz w:val="24"/>
          <w:szCs w:val="24"/>
          <w:shd w:val="clear" w:color="auto" w:fill="FFFFFF"/>
        </w:rPr>
        <w:t xml:space="preserve"> </w:t>
      </w:r>
      <w:r w:rsidR="004B5398" w:rsidRPr="00AD36D9">
        <w:rPr>
          <w:rFonts w:ascii="Times New Roman" w:hAnsi="Times New Roman" w:cs="Times New Roman"/>
          <w:color w:val="000000"/>
          <w:sz w:val="24"/>
          <w:szCs w:val="24"/>
          <w:shd w:val="clear" w:color="auto" w:fill="FFFFFF"/>
        </w:rPr>
        <w:t>also gathered</w:t>
      </w:r>
      <w:r w:rsidR="00736F31" w:rsidRPr="00AD36D9">
        <w:rPr>
          <w:rFonts w:ascii="Times New Roman" w:hAnsi="Times New Roman" w:cs="Times New Roman"/>
          <w:color w:val="000000"/>
          <w:sz w:val="24"/>
          <w:szCs w:val="24"/>
          <w:shd w:val="clear" w:color="auto" w:fill="FFFFFF"/>
        </w:rPr>
        <w:t xml:space="preserve">. </w:t>
      </w:r>
      <w:r w:rsidR="004B5398" w:rsidRPr="00AD36D9">
        <w:rPr>
          <w:rFonts w:ascii="Times New Roman" w:hAnsi="Times New Roman" w:cs="Times New Roman"/>
          <w:color w:val="000000"/>
          <w:sz w:val="24"/>
          <w:szCs w:val="24"/>
          <w:shd w:val="clear" w:color="auto" w:fill="FFFFFF"/>
        </w:rPr>
        <w:t xml:space="preserve">One area of concern </w:t>
      </w:r>
      <w:r w:rsidR="00CE519A">
        <w:rPr>
          <w:rFonts w:ascii="Times New Roman" w:hAnsi="Times New Roman" w:cs="Times New Roman"/>
          <w:color w:val="000000"/>
          <w:sz w:val="24"/>
          <w:szCs w:val="24"/>
          <w:shd w:val="clear" w:color="auto" w:fill="FFFFFF"/>
        </w:rPr>
        <w:t>was</w:t>
      </w:r>
      <w:r w:rsidR="00CE519A" w:rsidRPr="00AD36D9">
        <w:rPr>
          <w:rFonts w:ascii="Times New Roman" w:hAnsi="Times New Roman" w:cs="Times New Roman"/>
          <w:color w:val="000000"/>
          <w:sz w:val="24"/>
          <w:szCs w:val="24"/>
          <w:shd w:val="clear" w:color="auto" w:fill="FFFFFF"/>
        </w:rPr>
        <w:t xml:space="preserve"> </w:t>
      </w:r>
      <w:r w:rsidR="004B5398" w:rsidRPr="00AD36D9">
        <w:rPr>
          <w:rFonts w:ascii="Times New Roman" w:hAnsi="Times New Roman" w:cs="Times New Roman"/>
          <w:color w:val="000000"/>
          <w:sz w:val="24"/>
          <w:szCs w:val="24"/>
          <w:shd w:val="clear" w:color="auto" w:fill="FFFFFF"/>
        </w:rPr>
        <w:t>achieving the necessary number of participants</w:t>
      </w:r>
      <w:r w:rsidR="00736F31" w:rsidRPr="00AD36D9">
        <w:rPr>
          <w:rFonts w:ascii="Times New Roman" w:hAnsi="Times New Roman" w:cs="Times New Roman"/>
          <w:color w:val="000000"/>
          <w:sz w:val="24"/>
          <w:szCs w:val="24"/>
          <w:shd w:val="clear" w:color="auto" w:fill="FFFFFF"/>
        </w:rPr>
        <w:t>.</w:t>
      </w:r>
      <w:r w:rsidR="00DE7ECB">
        <w:rPr>
          <w:rFonts w:ascii="Times New Roman" w:hAnsi="Times New Roman" w:cs="Times New Roman"/>
          <w:color w:val="000000"/>
          <w:sz w:val="24"/>
          <w:szCs w:val="24"/>
          <w:shd w:val="clear" w:color="auto" w:fill="FFFFFF"/>
        </w:rPr>
        <w:t xml:space="preserve"> </w:t>
      </w:r>
      <w:r w:rsidR="00430997" w:rsidRPr="00AD36D9">
        <w:rPr>
          <w:rFonts w:ascii="Times New Roman" w:hAnsi="Times New Roman" w:cs="Times New Roman"/>
          <w:color w:val="000000"/>
          <w:sz w:val="24"/>
          <w:szCs w:val="24"/>
          <w:shd w:val="clear" w:color="auto" w:fill="FFFFFF"/>
        </w:rPr>
        <w:t xml:space="preserve">Peduzzi et al. (1996) explored the </w:t>
      </w:r>
      <w:r w:rsidR="00430997" w:rsidRPr="00AD36D9">
        <w:rPr>
          <w:rFonts w:ascii="Times New Roman" w:hAnsi="Times New Roman" w:cs="Times New Roman"/>
          <w:color w:val="000000"/>
          <w:sz w:val="24"/>
          <w:szCs w:val="24"/>
          <w:shd w:val="clear" w:color="auto" w:fill="FFFFFF"/>
        </w:rPr>
        <w:lastRenderedPageBreak/>
        <w:t xml:space="preserve">importance of events per </w:t>
      </w:r>
      <w:r w:rsidR="00812A59" w:rsidRPr="00AD36D9">
        <w:rPr>
          <w:rFonts w:ascii="Times New Roman" w:hAnsi="Times New Roman" w:cs="Times New Roman"/>
          <w:color w:val="000000"/>
          <w:sz w:val="24"/>
          <w:szCs w:val="24"/>
          <w:shd w:val="clear" w:color="auto" w:fill="FFFFFF"/>
        </w:rPr>
        <w:t xml:space="preserve">independent </w:t>
      </w:r>
      <w:r w:rsidR="00430997" w:rsidRPr="00AD36D9">
        <w:rPr>
          <w:rFonts w:ascii="Times New Roman" w:hAnsi="Times New Roman" w:cs="Times New Roman"/>
          <w:color w:val="000000"/>
          <w:sz w:val="24"/>
          <w:szCs w:val="24"/>
          <w:shd w:val="clear" w:color="auto" w:fill="FFFFFF"/>
        </w:rPr>
        <w:t xml:space="preserve">variable (EPV) for logistic regression analysis. </w:t>
      </w:r>
      <w:r w:rsidR="00812A59" w:rsidRPr="00AD36D9">
        <w:rPr>
          <w:rFonts w:ascii="Times New Roman" w:hAnsi="Times New Roman" w:cs="Times New Roman"/>
          <w:color w:val="000000"/>
          <w:sz w:val="24"/>
          <w:szCs w:val="24"/>
          <w:shd w:val="clear" w:color="auto" w:fill="FFFFFF"/>
        </w:rPr>
        <w:t>That research implica</w:t>
      </w:r>
      <w:r w:rsidR="00D22CE6" w:rsidRPr="00AD36D9">
        <w:rPr>
          <w:rFonts w:ascii="Times New Roman" w:hAnsi="Times New Roman" w:cs="Times New Roman"/>
          <w:color w:val="000000"/>
          <w:sz w:val="24"/>
          <w:szCs w:val="24"/>
          <w:shd w:val="clear" w:color="auto" w:fill="FFFFFF"/>
        </w:rPr>
        <w:t xml:space="preserve">ted a turning point at 10 EPV. </w:t>
      </w:r>
      <w:r w:rsidR="00812A59" w:rsidRPr="00AD36D9">
        <w:rPr>
          <w:rFonts w:ascii="Times New Roman" w:hAnsi="Times New Roman" w:cs="Times New Roman"/>
          <w:color w:val="000000"/>
          <w:sz w:val="24"/>
          <w:szCs w:val="24"/>
          <w:shd w:val="clear" w:color="auto" w:fill="FFFFFF"/>
        </w:rPr>
        <w:t>In the case of this study</w:t>
      </w:r>
      <w:r w:rsidR="00591F5E">
        <w:rPr>
          <w:rFonts w:ascii="Times New Roman" w:hAnsi="Times New Roman" w:cs="Times New Roman"/>
          <w:color w:val="000000"/>
          <w:sz w:val="24"/>
          <w:szCs w:val="24"/>
          <w:shd w:val="clear" w:color="auto" w:fill="FFFFFF"/>
        </w:rPr>
        <w:t>,</w:t>
      </w:r>
      <w:r w:rsidR="00812A59" w:rsidRPr="00AD36D9">
        <w:rPr>
          <w:rFonts w:ascii="Times New Roman" w:hAnsi="Times New Roman" w:cs="Times New Roman"/>
          <w:color w:val="000000"/>
          <w:sz w:val="24"/>
          <w:szCs w:val="24"/>
          <w:shd w:val="clear" w:color="auto" w:fill="FFFFFF"/>
        </w:rPr>
        <w:t xml:space="preserve"> the minimum event would be a first</w:t>
      </w:r>
      <w:r w:rsidR="0014055B">
        <w:rPr>
          <w:rFonts w:ascii="Times New Roman" w:hAnsi="Times New Roman" w:cs="Times New Roman"/>
          <w:color w:val="000000"/>
          <w:sz w:val="24"/>
          <w:szCs w:val="24"/>
          <w:shd w:val="clear" w:color="auto" w:fill="FFFFFF"/>
        </w:rPr>
        <w:t>-</w:t>
      </w:r>
      <w:r w:rsidR="00812A59" w:rsidRPr="00AD36D9">
        <w:rPr>
          <w:rFonts w:ascii="Times New Roman" w:hAnsi="Times New Roman" w:cs="Times New Roman"/>
          <w:color w:val="000000"/>
          <w:sz w:val="24"/>
          <w:szCs w:val="24"/>
          <w:shd w:val="clear" w:color="auto" w:fill="FFFFFF"/>
        </w:rPr>
        <w:t xml:space="preserve">year high school physics </w:t>
      </w:r>
      <w:r w:rsidR="00D22CE6" w:rsidRPr="00AD36D9">
        <w:rPr>
          <w:rFonts w:ascii="Times New Roman" w:hAnsi="Times New Roman" w:cs="Times New Roman"/>
          <w:color w:val="000000"/>
          <w:sz w:val="24"/>
          <w:szCs w:val="24"/>
          <w:shd w:val="clear" w:color="auto" w:fill="FFFFFF"/>
        </w:rPr>
        <w:t>student</w:t>
      </w:r>
      <w:r w:rsidR="00812A59" w:rsidRPr="00AD36D9">
        <w:rPr>
          <w:rFonts w:ascii="Times New Roman" w:hAnsi="Times New Roman" w:cs="Times New Roman"/>
          <w:color w:val="000000"/>
          <w:sz w:val="24"/>
          <w:szCs w:val="24"/>
          <w:shd w:val="clear" w:color="auto" w:fill="FFFFFF"/>
        </w:rPr>
        <w:t xml:space="preserve"> choosing to take a second year of high school physics. This study </w:t>
      </w:r>
      <w:r w:rsidR="000C27DC" w:rsidRPr="00AD36D9">
        <w:rPr>
          <w:rFonts w:ascii="Times New Roman" w:hAnsi="Times New Roman" w:cs="Times New Roman"/>
          <w:color w:val="000000"/>
          <w:sz w:val="24"/>
          <w:szCs w:val="24"/>
          <w:shd w:val="clear" w:color="auto" w:fill="FFFFFF"/>
        </w:rPr>
        <w:t>control</w:t>
      </w:r>
      <w:r w:rsidR="000C27DC">
        <w:rPr>
          <w:rFonts w:ascii="Times New Roman" w:hAnsi="Times New Roman" w:cs="Times New Roman"/>
          <w:color w:val="000000"/>
          <w:sz w:val="24"/>
          <w:szCs w:val="24"/>
          <w:shd w:val="clear" w:color="auto" w:fill="FFFFFF"/>
        </w:rPr>
        <w:t>led</w:t>
      </w:r>
      <w:r w:rsidR="00BD1BF8" w:rsidRPr="00AD36D9">
        <w:rPr>
          <w:rFonts w:ascii="Times New Roman" w:hAnsi="Times New Roman" w:cs="Times New Roman"/>
          <w:color w:val="000000"/>
          <w:sz w:val="24"/>
          <w:szCs w:val="24"/>
          <w:shd w:val="clear" w:color="auto" w:fill="FFFFFF"/>
        </w:rPr>
        <w:t xml:space="preserve"> for </w:t>
      </w:r>
      <w:r w:rsidR="005476FA" w:rsidRPr="00AD36D9">
        <w:rPr>
          <w:rFonts w:ascii="Times New Roman" w:hAnsi="Times New Roman" w:cs="Times New Roman"/>
          <w:color w:val="000000"/>
          <w:sz w:val="24"/>
          <w:szCs w:val="24"/>
          <w:shd w:val="clear" w:color="auto" w:fill="FFFFFF"/>
        </w:rPr>
        <w:t>physics knowledge</w:t>
      </w:r>
      <w:r w:rsidR="00BD1BF8" w:rsidRPr="00AD36D9">
        <w:rPr>
          <w:rFonts w:ascii="Times New Roman" w:hAnsi="Times New Roman" w:cs="Times New Roman"/>
          <w:color w:val="000000"/>
          <w:sz w:val="24"/>
          <w:szCs w:val="24"/>
          <w:shd w:val="clear" w:color="auto" w:fill="FFFFFF"/>
        </w:rPr>
        <w:t xml:space="preserve"> </w:t>
      </w:r>
      <w:r w:rsidR="009227B8">
        <w:rPr>
          <w:rFonts w:ascii="Times New Roman" w:hAnsi="Times New Roman" w:cs="Times New Roman"/>
          <w:color w:val="000000"/>
          <w:sz w:val="24"/>
          <w:szCs w:val="24"/>
          <w:shd w:val="clear" w:color="auto" w:fill="FFFFFF"/>
        </w:rPr>
        <w:t xml:space="preserve">growth </w:t>
      </w:r>
      <w:r w:rsidR="00BD1BF8" w:rsidRPr="00AD36D9">
        <w:rPr>
          <w:rFonts w:ascii="Times New Roman" w:hAnsi="Times New Roman" w:cs="Times New Roman"/>
          <w:color w:val="000000"/>
          <w:sz w:val="24"/>
          <w:szCs w:val="24"/>
          <w:shd w:val="clear" w:color="auto" w:fill="FFFFFF"/>
        </w:rPr>
        <w:t>through the administration of th</w:t>
      </w:r>
      <w:r w:rsidR="005476FA" w:rsidRPr="00AD36D9">
        <w:rPr>
          <w:rFonts w:ascii="Times New Roman" w:hAnsi="Times New Roman" w:cs="Times New Roman"/>
          <w:color w:val="000000"/>
          <w:sz w:val="24"/>
          <w:szCs w:val="24"/>
          <w:shd w:val="clear" w:color="auto" w:fill="FFFFFF"/>
        </w:rPr>
        <w:t xml:space="preserve">e </w:t>
      </w:r>
      <w:r w:rsidR="0050798B">
        <w:rPr>
          <w:rFonts w:ascii="Times New Roman" w:hAnsi="Times New Roman" w:cs="Times New Roman"/>
          <w:color w:val="000000"/>
          <w:sz w:val="24"/>
          <w:szCs w:val="24"/>
          <w:shd w:val="clear" w:color="auto" w:fill="FFFFFF"/>
        </w:rPr>
        <w:t>FCI</w:t>
      </w:r>
      <w:r w:rsidR="005476FA" w:rsidRPr="00AD36D9">
        <w:rPr>
          <w:rFonts w:ascii="Times New Roman" w:hAnsi="Times New Roman" w:cs="Times New Roman"/>
          <w:color w:val="000000"/>
          <w:sz w:val="24"/>
          <w:szCs w:val="24"/>
          <w:shd w:val="clear" w:color="auto" w:fill="FFFFFF"/>
        </w:rPr>
        <w:t xml:space="preserve"> </w:t>
      </w:r>
      <w:r w:rsidR="004F1CBB" w:rsidRPr="00AD36D9">
        <w:rPr>
          <w:rFonts w:ascii="Times New Roman" w:hAnsi="Times New Roman" w:cs="Times New Roman"/>
          <w:color w:val="000000"/>
          <w:sz w:val="24"/>
          <w:szCs w:val="24"/>
          <w:shd w:val="clear" w:color="auto" w:fill="FFFFFF"/>
        </w:rPr>
        <w:t>as well as first semester physics grade</w:t>
      </w:r>
      <w:r w:rsidR="00F6571F" w:rsidRPr="00AD36D9">
        <w:rPr>
          <w:rFonts w:ascii="Times New Roman" w:hAnsi="Times New Roman" w:cs="Times New Roman"/>
          <w:color w:val="000000"/>
          <w:sz w:val="24"/>
          <w:szCs w:val="24"/>
          <w:shd w:val="clear" w:color="auto" w:fill="FFFFFF"/>
        </w:rPr>
        <w:t>.</w:t>
      </w:r>
      <w:r w:rsidR="005476FA" w:rsidRPr="00AD36D9">
        <w:rPr>
          <w:rFonts w:ascii="Times New Roman" w:hAnsi="Times New Roman" w:cs="Times New Roman"/>
          <w:color w:val="000000"/>
          <w:sz w:val="24"/>
          <w:szCs w:val="24"/>
          <w:shd w:val="clear" w:color="auto" w:fill="FFFFFF"/>
        </w:rPr>
        <w:t xml:space="preserve"> T</w:t>
      </w:r>
      <w:r w:rsidR="00812A59" w:rsidRPr="00AD36D9">
        <w:rPr>
          <w:rFonts w:ascii="Times New Roman" w:hAnsi="Times New Roman" w:cs="Times New Roman"/>
          <w:color w:val="000000"/>
          <w:sz w:val="24"/>
          <w:szCs w:val="24"/>
          <w:shd w:val="clear" w:color="auto" w:fill="FFFFFF"/>
        </w:rPr>
        <w:t>he four components of Bandura’s</w:t>
      </w:r>
      <w:r w:rsidR="0050798B">
        <w:rPr>
          <w:rFonts w:ascii="Times New Roman" w:hAnsi="Times New Roman" w:cs="Times New Roman"/>
          <w:color w:val="000000"/>
          <w:sz w:val="24"/>
          <w:szCs w:val="24"/>
          <w:shd w:val="clear" w:color="auto" w:fill="FFFFFF"/>
        </w:rPr>
        <w:t xml:space="preserve"> (1977)</w:t>
      </w:r>
      <w:r w:rsidR="00812A59" w:rsidRPr="00AD36D9">
        <w:rPr>
          <w:rFonts w:ascii="Times New Roman" w:hAnsi="Times New Roman" w:cs="Times New Roman"/>
          <w:color w:val="000000"/>
          <w:sz w:val="24"/>
          <w:szCs w:val="24"/>
          <w:shd w:val="clear" w:color="auto" w:fill="FFFFFF"/>
        </w:rPr>
        <w:t xml:space="preserve"> self-efficacy</w:t>
      </w:r>
      <w:r w:rsidR="005476FA" w:rsidRPr="00AD36D9">
        <w:rPr>
          <w:rFonts w:ascii="Times New Roman" w:hAnsi="Times New Roman" w:cs="Times New Roman"/>
          <w:color w:val="000000"/>
          <w:sz w:val="24"/>
          <w:szCs w:val="24"/>
          <w:shd w:val="clear" w:color="auto" w:fill="FFFFFF"/>
        </w:rPr>
        <w:t>, along with gender, result</w:t>
      </w:r>
      <w:r w:rsidR="00CE519A">
        <w:rPr>
          <w:rFonts w:ascii="Times New Roman" w:hAnsi="Times New Roman" w:cs="Times New Roman"/>
          <w:color w:val="000000"/>
          <w:sz w:val="24"/>
          <w:szCs w:val="24"/>
          <w:shd w:val="clear" w:color="auto" w:fill="FFFFFF"/>
        </w:rPr>
        <w:t>ed</w:t>
      </w:r>
      <w:r w:rsidR="005476FA" w:rsidRPr="00AD36D9">
        <w:rPr>
          <w:rFonts w:ascii="Times New Roman" w:hAnsi="Times New Roman" w:cs="Times New Roman"/>
          <w:color w:val="000000"/>
          <w:sz w:val="24"/>
          <w:szCs w:val="24"/>
          <w:shd w:val="clear" w:color="auto" w:fill="FFFFFF"/>
        </w:rPr>
        <w:t xml:space="preserve"> in </w:t>
      </w:r>
      <w:r w:rsidR="004F1CBB" w:rsidRPr="00AD36D9">
        <w:rPr>
          <w:rFonts w:ascii="Times New Roman" w:hAnsi="Times New Roman" w:cs="Times New Roman"/>
          <w:color w:val="000000"/>
          <w:sz w:val="24"/>
          <w:szCs w:val="24"/>
          <w:shd w:val="clear" w:color="auto" w:fill="FFFFFF"/>
        </w:rPr>
        <w:t>seven</w:t>
      </w:r>
      <w:r w:rsidR="005476FA" w:rsidRPr="00AD36D9">
        <w:rPr>
          <w:rFonts w:ascii="Times New Roman" w:hAnsi="Times New Roman" w:cs="Times New Roman"/>
          <w:color w:val="000000"/>
          <w:sz w:val="24"/>
          <w:szCs w:val="24"/>
          <w:shd w:val="clear" w:color="auto" w:fill="FFFFFF"/>
        </w:rPr>
        <w:t xml:space="preserve"> independent variables</w:t>
      </w:r>
      <w:r w:rsidR="00812A59" w:rsidRPr="00AD36D9">
        <w:rPr>
          <w:rFonts w:ascii="Times New Roman" w:hAnsi="Times New Roman" w:cs="Times New Roman"/>
          <w:color w:val="000000"/>
          <w:sz w:val="24"/>
          <w:szCs w:val="24"/>
          <w:shd w:val="clear" w:color="auto" w:fill="FFFFFF"/>
        </w:rPr>
        <w:t xml:space="preserve">. With </w:t>
      </w:r>
      <w:r w:rsidR="004F1CBB" w:rsidRPr="00AD36D9">
        <w:rPr>
          <w:rFonts w:ascii="Times New Roman" w:hAnsi="Times New Roman" w:cs="Times New Roman"/>
          <w:color w:val="000000"/>
          <w:sz w:val="24"/>
          <w:szCs w:val="24"/>
          <w:shd w:val="clear" w:color="auto" w:fill="FFFFFF"/>
        </w:rPr>
        <w:t>seven</w:t>
      </w:r>
      <w:r w:rsidR="00812A59" w:rsidRPr="00AD36D9">
        <w:rPr>
          <w:rFonts w:ascii="Times New Roman" w:hAnsi="Times New Roman" w:cs="Times New Roman"/>
          <w:color w:val="000000"/>
          <w:sz w:val="24"/>
          <w:szCs w:val="24"/>
          <w:shd w:val="clear" w:color="auto" w:fill="FFFFFF"/>
        </w:rPr>
        <w:t xml:space="preserve"> independent variables</w:t>
      </w:r>
      <w:r w:rsidR="00FE7BC5">
        <w:rPr>
          <w:rFonts w:ascii="Times New Roman" w:hAnsi="Times New Roman" w:cs="Times New Roman"/>
          <w:color w:val="000000"/>
          <w:sz w:val="24"/>
          <w:szCs w:val="24"/>
          <w:shd w:val="clear" w:color="auto" w:fill="FFFFFF"/>
        </w:rPr>
        <w:t>,</w:t>
      </w:r>
      <w:r w:rsidR="00812A59" w:rsidRPr="00AD36D9">
        <w:rPr>
          <w:rFonts w:ascii="Times New Roman" w:hAnsi="Times New Roman" w:cs="Times New Roman"/>
          <w:color w:val="000000"/>
          <w:sz w:val="24"/>
          <w:szCs w:val="24"/>
          <w:shd w:val="clear" w:color="auto" w:fill="FFFFFF"/>
        </w:rPr>
        <w:t xml:space="preserve"> the study need</w:t>
      </w:r>
      <w:r w:rsidR="00CE519A">
        <w:rPr>
          <w:rFonts w:ascii="Times New Roman" w:hAnsi="Times New Roman" w:cs="Times New Roman"/>
          <w:color w:val="000000"/>
          <w:sz w:val="24"/>
          <w:szCs w:val="24"/>
          <w:shd w:val="clear" w:color="auto" w:fill="FFFFFF"/>
        </w:rPr>
        <w:t>ed</w:t>
      </w:r>
      <w:r w:rsidR="00812A59" w:rsidRPr="00AD36D9">
        <w:rPr>
          <w:rFonts w:ascii="Times New Roman" w:hAnsi="Times New Roman" w:cs="Times New Roman"/>
          <w:color w:val="000000"/>
          <w:sz w:val="24"/>
          <w:szCs w:val="24"/>
          <w:shd w:val="clear" w:color="auto" w:fill="FFFFFF"/>
        </w:rPr>
        <w:t xml:space="preserve"> </w:t>
      </w:r>
      <w:r w:rsidR="004F1CBB" w:rsidRPr="00AD36D9">
        <w:rPr>
          <w:rFonts w:ascii="Times New Roman" w:hAnsi="Times New Roman" w:cs="Times New Roman"/>
          <w:color w:val="000000"/>
          <w:sz w:val="24"/>
          <w:szCs w:val="24"/>
          <w:shd w:val="clear" w:color="auto" w:fill="FFFFFF"/>
        </w:rPr>
        <w:t>70</w:t>
      </w:r>
      <w:r w:rsidR="00812A59" w:rsidRPr="00AD36D9">
        <w:rPr>
          <w:rFonts w:ascii="Times New Roman" w:hAnsi="Times New Roman" w:cs="Times New Roman"/>
          <w:color w:val="000000"/>
          <w:sz w:val="24"/>
          <w:szCs w:val="24"/>
          <w:shd w:val="clear" w:color="auto" w:fill="FFFFFF"/>
        </w:rPr>
        <w:t xml:space="preserve"> </w:t>
      </w:r>
      <w:r w:rsidR="00D22CE6" w:rsidRPr="00AD36D9">
        <w:rPr>
          <w:rFonts w:ascii="Times New Roman" w:hAnsi="Times New Roman" w:cs="Times New Roman"/>
          <w:color w:val="000000"/>
          <w:sz w:val="24"/>
          <w:szCs w:val="24"/>
          <w:shd w:val="clear" w:color="auto" w:fill="FFFFFF"/>
        </w:rPr>
        <w:t>students</w:t>
      </w:r>
      <w:r w:rsidR="00812A59" w:rsidRPr="00AD36D9">
        <w:rPr>
          <w:rFonts w:ascii="Times New Roman" w:hAnsi="Times New Roman" w:cs="Times New Roman"/>
          <w:color w:val="000000"/>
          <w:sz w:val="24"/>
          <w:szCs w:val="24"/>
          <w:shd w:val="clear" w:color="auto" w:fill="FFFFFF"/>
        </w:rPr>
        <w:t xml:space="preserve"> in the sample choosing to take a second year of high school physics at the research site. </w:t>
      </w:r>
    </w:p>
    <w:p w14:paraId="4A2BA97B" w14:textId="77777777" w:rsidR="004B5398" w:rsidRPr="00AD36D9" w:rsidRDefault="004B5398" w:rsidP="00BA4A2D">
      <w:pPr>
        <w:pStyle w:val="Heading2"/>
      </w:pPr>
      <w:bookmarkStart w:id="10" w:name="_Toc117501910"/>
      <w:r w:rsidRPr="00AD36D9">
        <w:t>Definition of the Terms</w:t>
      </w:r>
      <w:bookmarkEnd w:id="10"/>
    </w:p>
    <w:p w14:paraId="4D603E7C" w14:textId="77777777" w:rsidR="0014055B" w:rsidRDefault="0014055B" w:rsidP="00BA4A2D">
      <w:pPr>
        <w:widowControl w:val="0"/>
        <w:spacing w:after="0" w:line="480" w:lineRule="auto"/>
        <w:ind w:firstLine="720"/>
        <w:rPr>
          <w:rFonts w:ascii="Times New Roman" w:hAnsi="Times New Roman" w:cs="Times New Roman"/>
          <w:iCs/>
          <w:sz w:val="24"/>
          <w:szCs w:val="24"/>
        </w:rPr>
      </w:pPr>
      <w:r>
        <w:rPr>
          <w:rFonts w:ascii="Times New Roman" w:hAnsi="Times New Roman" w:cs="Times New Roman"/>
          <w:iCs/>
          <w:sz w:val="24"/>
          <w:szCs w:val="24"/>
        </w:rPr>
        <w:t>For the purposes of the current study, the following terms and definitions will be applied.</w:t>
      </w:r>
    </w:p>
    <w:p w14:paraId="4CC0EE85" w14:textId="4828FBB6" w:rsidR="00D86357" w:rsidRPr="00AD36D9" w:rsidRDefault="00D86357" w:rsidP="00BA4A2D">
      <w:pPr>
        <w:widowControl w:val="0"/>
        <w:spacing w:after="0" w:line="480" w:lineRule="auto"/>
        <w:ind w:firstLine="720"/>
        <w:rPr>
          <w:rFonts w:ascii="Times New Roman" w:hAnsi="Times New Roman" w:cs="Times New Roman"/>
          <w:sz w:val="24"/>
          <w:szCs w:val="24"/>
        </w:rPr>
      </w:pPr>
      <w:r w:rsidRPr="00AD36D9">
        <w:rPr>
          <w:rFonts w:ascii="Times New Roman" w:hAnsi="Times New Roman" w:cs="Times New Roman"/>
          <w:i/>
          <w:sz w:val="24"/>
          <w:szCs w:val="24"/>
        </w:rPr>
        <w:t>Advanced Placement Physics 1</w:t>
      </w:r>
      <w:r w:rsidRPr="00AD36D9">
        <w:rPr>
          <w:rFonts w:ascii="Times New Roman" w:hAnsi="Times New Roman" w:cs="Times New Roman"/>
          <w:sz w:val="24"/>
          <w:szCs w:val="24"/>
        </w:rPr>
        <w:t>: This is an algebra based yearlong introductory college-level physics course (College Board, 2020).</w:t>
      </w:r>
    </w:p>
    <w:p w14:paraId="01385C6B" w14:textId="0138E2D8" w:rsidR="00D86357" w:rsidRPr="00AD36D9" w:rsidRDefault="00D86357" w:rsidP="00BA4A2D">
      <w:pPr>
        <w:widowControl w:val="0"/>
        <w:spacing w:after="0" w:line="480" w:lineRule="auto"/>
        <w:ind w:firstLine="720"/>
        <w:rPr>
          <w:rFonts w:ascii="Times New Roman" w:hAnsi="Times New Roman" w:cs="Times New Roman"/>
          <w:sz w:val="24"/>
          <w:szCs w:val="24"/>
        </w:rPr>
      </w:pPr>
      <w:r w:rsidRPr="00AD36D9">
        <w:rPr>
          <w:rFonts w:ascii="Times New Roman" w:hAnsi="Times New Roman" w:cs="Times New Roman"/>
          <w:i/>
          <w:sz w:val="24"/>
          <w:szCs w:val="24"/>
        </w:rPr>
        <w:t>Advanced Placement Physics C:</w:t>
      </w:r>
      <w:r w:rsidRPr="00AD36D9">
        <w:rPr>
          <w:rFonts w:ascii="Times New Roman" w:hAnsi="Times New Roman" w:cs="Times New Roman"/>
          <w:sz w:val="24"/>
          <w:szCs w:val="24"/>
        </w:rPr>
        <w:t xml:space="preserve"> </w:t>
      </w:r>
      <w:r w:rsidR="00551F53" w:rsidRPr="00AD36D9">
        <w:rPr>
          <w:rFonts w:ascii="Times New Roman" w:hAnsi="Times New Roman" w:cs="Times New Roman"/>
          <w:sz w:val="24"/>
          <w:szCs w:val="24"/>
        </w:rPr>
        <w:t>This a calculus-based college-level physics course appropriate for student planning to major in engineering or other physical sciences</w:t>
      </w:r>
      <w:r w:rsidR="00736F31" w:rsidRPr="00AD36D9">
        <w:rPr>
          <w:rFonts w:ascii="Times New Roman" w:hAnsi="Times New Roman" w:cs="Times New Roman"/>
          <w:sz w:val="24"/>
          <w:szCs w:val="24"/>
        </w:rPr>
        <w:t xml:space="preserve">. </w:t>
      </w:r>
      <w:r w:rsidR="00551F53" w:rsidRPr="00AD36D9">
        <w:rPr>
          <w:rFonts w:ascii="Times New Roman" w:hAnsi="Times New Roman" w:cs="Times New Roman"/>
          <w:sz w:val="24"/>
          <w:szCs w:val="24"/>
        </w:rPr>
        <w:t>Physics C is comprised of two one semester courses with the first consisting of mechanics and the second consisting of electricity and magnetism (College Board, 2020).</w:t>
      </w:r>
    </w:p>
    <w:p w14:paraId="69651AD5" w14:textId="554330BB" w:rsidR="004B5398" w:rsidRPr="00AD36D9" w:rsidRDefault="004B5398" w:rsidP="00BA4A2D">
      <w:pPr>
        <w:widowControl w:val="0"/>
        <w:spacing w:after="0" w:line="480" w:lineRule="auto"/>
        <w:ind w:firstLine="720"/>
        <w:rPr>
          <w:rFonts w:ascii="Times New Roman" w:hAnsi="Times New Roman" w:cs="Times New Roman"/>
          <w:sz w:val="24"/>
          <w:szCs w:val="24"/>
        </w:rPr>
      </w:pPr>
      <w:r w:rsidRPr="00AD36D9">
        <w:rPr>
          <w:rFonts w:ascii="Times New Roman" w:hAnsi="Times New Roman" w:cs="Times New Roman"/>
          <w:i/>
          <w:sz w:val="24"/>
          <w:szCs w:val="24"/>
        </w:rPr>
        <w:t>Gender</w:t>
      </w:r>
      <w:r w:rsidR="0045242E" w:rsidRPr="00AD36D9">
        <w:rPr>
          <w:rFonts w:ascii="Times New Roman" w:hAnsi="Times New Roman" w:cs="Times New Roman"/>
          <w:i/>
          <w:sz w:val="24"/>
          <w:szCs w:val="24"/>
        </w:rPr>
        <w:t xml:space="preserve"> and Sex</w:t>
      </w:r>
      <w:r w:rsidRPr="00AD36D9">
        <w:rPr>
          <w:rFonts w:ascii="Times New Roman" w:hAnsi="Times New Roman" w:cs="Times New Roman"/>
          <w:sz w:val="24"/>
          <w:szCs w:val="24"/>
        </w:rPr>
        <w:t>: The term gender is more complicated than sex</w:t>
      </w:r>
      <w:r w:rsidR="00736F31" w:rsidRPr="00AD36D9">
        <w:rPr>
          <w:rFonts w:ascii="Times New Roman" w:hAnsi="Times New Roman" w:cs="Times New Roman"/>
          <w:sz w:val="24"/>
          <w:szCs w:val="24"/>
        </w:rPr>
        <w:t xml:space="preserve">. </w:t>
      </w:r>
      <w:r w:rsidR="003B345B" w:rsidRPr="00AD36D9">
        <w:rPr>
          <w:rFonts w:ascii="Times New Roman" w:hAnsi="Times New Roman" w:cs="Times New Roman"/>
          <w:sz w:val="24"/>
          <w:szCs w:val="24"/>
        </w:rPr>
        <w:t>G</w:t>
      </w:r>
      <w:r w:rsidRPr="00AD36D9">
        <w:rPr>
          <w:rFonts w:ascii="Times New Roman" w:hAnsi="Times New Roman" w:cs="Times New Roman"/>
          <w:sz w:val="24"/>
          <w:szCs w:val="24"/>
        </w:rPr>
        <w:t>ender is determined by how individual</w:t>
      </w:r>
      <w:r w:rsidR="0050798B">
        <w:rPr>
          <w:rFonts w:ascii="Times New Roman" w:hAnsi="Times New Roman" w:cs="Times New Roman"/>
          <w:sz w:val="24"/>
          <w:szCs w:val="24"/>
        </w:rPr>
        <w:t>s</w:t>
      </w:r>
      <w:r w:rsidRPr="00AD36D9">
        <w:rPr>
          <w:rFonts w:ascii="Times New Roman" w:hAnsi="Times New Roman" w:cs="Times New Roman"/>
          <w:sz w:val="24"/>
          <w:szCs w:val="24"/>
        </w:rPr>
        <w:t xml:space="preserve"> identif</w:t>
      </w:r>
      <w:r w:rsidR="004B3EE8">
        <w:rPr>
          <w:rFonts w:ascii="Times New Roman" w:hAnsi="Times New Roman" w:cs="Times New Roman"/>
          <w:sz w:val="24"/>
          <w:szCs w:val="24"/>
        </w:rPr>
        <w:t>y</w:t>
      </w:r>
      <w:r w:rsidRPr="00AD36D9">
        <w:rPr>
          <w:rFonts w:ascii="Times New Roman" w:hAnsi="Times New Roman" w:cs="Times New Roman"/>
          <w:sz w:val="24"/>
          <w:szCs w:val="24"/>
        </w:rPr>
        <w:t xml:space="preserve"> or diverge from cultural expectations assigned at birth</w:t>
      </w:r>
      <w:r w:rsidR="003B345B" w:rsidRPr="00AD36D9">
        <w:rPr>
          <w:rFonts w:ascii="Times New Roman" w:hAnsi="Times New Roman" w:cs="Times New Roman"/>
          <w:sz w:val="24"/>
          <w:szCs w:val="24"/>
        </w:rPr>
        <w:t xml:space="preserve"> based on sex designation</w:t>
      </w:r>
      <w:r w:rsidR="0045242E" w:rsidRPr="00AD36D9">
        <w:rPr>
          <w:rFonts w:ascii="Times New Roman" w:hAnsi="Times New Roman" w:cs="Times New Roman"/>
          <w:sz w:val="24"/>
          <w:szCs w:val="24"/>
        </w:rPr>
        <w:t>. Sex is based on biology and assigned at birth as female or male (Hendrix et al., 2016). This study focus</w:t>
      </w:r>
      <w:r w:rsidR="004B3EE8">
        <w:rPr>
          <w:rFonts w:ascii="Times New Roman" w:hAnsi="Times New Roman" w:cs="Times New Roman"/>
          <w:sz w:val="24"/>
          <w:szCs w:val="24"/>
        </w:rPr>
        <w:t>ed</w:t>
      </w:r>
      <w:r w:rsidR="0045242E" w:rsidRPr="00AD36D9">
        <w:rPr>
          <w:rFonts w:ascii="Times New Roman" w:hAnsi="Times New Roman" w:cs="Times New Roman"/>
          <w:sz w:val="24"/>
          <w:szCs w:val="24"/>
        </w:rPr>
        <w:t xml:space="preserve"> on how students </w:t>
      </w:r>
      <w:r w:rsidR="00EE0544" w:rsidRPr="00AD36D9">
        <w:rPr>
          <w:rFonts w:ascii="Times New Roman" w:hAnsi="Times New Roman" w:cs="Times New Roman"/>
          <w:sz w:val="24"/>
          <w:szCs w:val="24"/>
        </w:rPr>
        <w:t xml:space="preserve">internally </w:t>
      </w:r>
      <w:r w:rsidR="0045242E" w:rsidRPr="00AD36D9">
        <w:rPr>
          <w:rFonts w:ascii="Times New Roman" w:hAnsi="Times New Roman" w:cs="Times New Roman"/>
          <w:sz w:val="24"/>
          <w:szCs w:val="24"/>
        </w:rPr>
        <w:t>view their pote</w:t>
      </w:r>
      <w:r w:rsidR="00EE0544" w:rsidRPr="00AD36D9">
        <w:rPr>
          <w:rFonts w:ascii="Times New Roman" w:hAnsi="Times New Roman" w:cs="Times New Roman"/>
          <w:sz w:val="24"/>
          <w:szCs w:val="24"/>
        </w:rPr>
        <w:t>ntial for success. Therefore</w:t>
      </w:r>
      <w:r w:rsidR="00F76D39" w:rsidRPr="00AD36D9">
        <w:rPr>
          <w:rFonts w:ascii="Times New Roman" w:hAnsi="Times New Roman" w:cs="Times New Roman"/>
          <w:sz w:val="24"/>
          <w:szCs w:val="24"/>
        </w:rPr>
        <w:t>,</w:t>
      </w:r>
      <w:r w:rsidR="00EE0544" w:rsidRPr="00AD36D9">
        <w:rPr>
          <w:rFonts w:ascii="Times New Roman" w:hAnsi="Times New Roman" w:cs="Times New Roman"/>
          <w:sz w:val="24"/>
          <w:szCs w:val="24"/>
        </w:rPr>
        <w:t xml:space="preserve"> it is more appropriate to examine differences in results based on gender rather than sex.</w:t>
      </w:r>
    </w:p>
    <w:p w14:paraId="7FFAB45E" w14:textId="0DB159F7" w:rsidR="004B5398" w:rsidRPr="00003281" w:rsidRDefault="004B5398" w:rsidP="00BA4A2D">
      <w:pPr>
        <w:widowControl w:val="0"/>
        <w:spacing w:after="0" w:line="480" w:lineRule="auto"/>
        <w:ind w:firstLine="720"/>
        <w:rPr>
          <w:rFonts w:ascii="Times New Roman" w:hAnsi="Times New Roman" w:cs="Times New Roman"/>
          <w:strike/>
          <w:sz w:val="24"/>
          <w:szCs w:val="24"/>
        </w:rPr>
      </w:pPr>
      <w:r w:rsidRPr="00AD36D9">
        <w:rPr>
          <w:rFonts w:ascii="Times New Roman" w:hAnsi="Times New Roman" w:cs="Times New Roman"/>
          <w:i/>
          <w:sz w:val="24"/>
          <w:szCs w:val="24"/>
        </w:rPr>
        <w:t>Self-efficacy</w:t>
      </w:r>
      <w:r w:rsidRPr="00AD36D9">
        <w:rPr>
          <w:rFonts w:ascii="Times New Roman" w:hAnsi="Times New Roman" w:cs="Times New Roman"/>
          <w:sz w:val="24"/>
          <w:szCs w:val="24"/>
        </w:rPr>
        <w:t>: This is a person’s perception of their ability to successfully execute a behavior required to produce a desired outcome (Bandura, 1977).</w:t>
      </w:r>
      <w:r w:rsidR="00197675" w:rsidRPr="00AD36D9">
        <w:rPr>
          <w:rFonts w:ascii="Times New Roman" w:hAnsi="Times New Roman" w:cs="Times New Roman"/>
          <w:sz w:val="24"/>
          <w:szCs w:val="24"/>
        </w:rPr>
        <w:t xml:space="preserve"> Bandura’s definition of self-</w:t>
      </w:r>
      <w:r w:rsidR="00197675" w:rsidRPr="00AD36D9">
        <w:rPr>
          <w:rFonts w:ascii="Times New Roman" w:hAnsi="Times New Roman" w:cs="Times New Roman"/>
          <w:sz w:val="24"/>
          <w:szCs w:val="24"/>
        </w:rPr>
        <w:lastRenderedPageBreak/>
        <w:t xml:space="preserve">efficacy includes four main sources. </w:t>
      </w:r>
      <w:r w:rsidR="00197675" w:rsidRPr="00AD36D9">
        <w:rPr>
          <w:rFonts w:ascii="Times New Roman" w:hAnsi="Times New Roman" w:cs="Times New Roman"/>
          <w:i/>
          <w:sz w:val="24"/>
          <w:szCs w:val="24"/>
        </w:rPr>
        <w:t>Mastery experience</w:t>
      </w:r>
      <w:r w:rsidR="00197675" w:rsidRPr="00AD36D9">
        <w:rPr>
          <w:rFonts w:ascii="Times New Roman" w:hAnsi="Times New Roman" w:cs="Times New Roman"/>
          <w:sz w:val="24"/>
          <w:szCs w:val="24"/>
        </w:rPr>
        <w:t xml:space="preserve">s </w:t>
      </w:r>
      <w:r w:rsidR="005629D1" w:rsidRPr="00AD36D9">
        <w:rPr>
          <w:rFonts w:ascii="Times New Roman" w:hAnsi="Times New Roman" w:cs="Times New Roman"/>
          <w:sz w:val="24"/>
          <w:szCs w:val="24"/>
        </w:rPr>
        <w:t>include both</w:t>
      </w:r>
      <w:r w:rsidR="00197675" w:rsidRPr="00AD36D9">
        <w:rPr>
          <w:rFonts w:ascii="Times New Roman" w:hAnsi="Times New Roman" w:cs="Times New Roman"/>
          <w:sz w:val="24"/>
          <w:szCs w:val="24"/>
        </w:rPr>
        <w:t xml:space="preserve"> personal experiences of success </w:t>
      </w:r>
      <w:r w:rsidR="005629D1" w:rsidRPr="00AD36D9">
        <w:rPr>
          <w:rFonts w:ascii="Times New Roman" w:hAnsi="Times New Roman" w:cs="Times New Roman"/>
          <w:sz w:val="24"/>
          <w:szCs w:val="24"/>
        </w:rPr>
        <w:t>which</w:t>
      </w:r>
      <w:r w:rsidR="00197675" w:rsidRPr="00AD36D9">
        <w:rPr>
          <w:rFonts w:ascii="Times New Roman" w:hAnsi="Times New Roman" w:cs="Times New Roman"/>
          <w:sz w:val="24"/>
          <w:szCs w:val="24"/>
        </w:rPr>
        <w:t xml:space="preserve"> strengthen perceived self-efficacy, while personal failures undermined perceived self-efficacy (Bandura, 1998). </w:t>
      </w:r>
      <w:r w:rsidR="00197675" w:rsidRPr="00AD36D9">
        <w:rPr>
          <w:rFonts w:ascii="Times New Roman" w:hAnsi="Times New Roman" w:cs="Times New Roman"/>
          <w:i/>
          <w:sz w:val="24"/>
          <w:szCs w:val="24"/>
        </w:rPr>
        <w:t xml:space="preserve">Vicarious experiences </w:t>
      </w:r>
      <w:r w:rsidR="00197675" w:rsidRPr="00AD36D9">
        <w:rPr>
          <w:rFonts w:ascii="Times New Roman" w:hAnsi="Times New Roman" w:cs="Times New Roman"/>
          <w:sz w:val="24"/>
          <w:szCs w:val="24"/>
        </w:rPr>
        <w:t xml:space="preserve">include the act of observing others succeed and fail at desired tasks (Bandura, 1998). </w:t>
      </w:r>
      <w:r w:rsidR="00197675" w:rsidRPr="00AD36D9">
        <w:rPr>
          <w:rFonts w:ascii="Times New Roman" w:hAnsi="Times New Roman" w:cs="Times New Roman"/>
          <w:i/>
          <w:sz w:val="24"/>
          <w:szCs w:val="24"/>
        </w:rPr>
        <w:t xml:space="preserve">Social persuasion </w:t>
      </w:r>
      <w:r w:rsidR="00197675" w:rsidRPr="00003281">
        <w:rPr>
          <w:rFonts w:ascii="Times New Roman" w:hAnsi="Times New Roman" w:cs="Times New Roman"/>
          <w:sz w:val="24"/>
          <w:szCs w:val="24"/>
        </w:rPr>
        <w:t>experiences</w:t>
      </w:r>
      <w:r w:rsidR="00197675" w:rsidRPr="00AD36D9">
        <w:rPr>
          <w:rFonts w:ascii="Times New Roman" w:hAnsi="Times New Roman" w:cs="Times New Roman"/>
          <w:sz w:val="24"/>
          <w:szCs w:val="24"/>
        </w:rPr>
        <w:t xml:space="preserve"> are those when others attempt to influence human behavior</w:t>
      </w:r>
      <w:r w:rsidR="005629D1" w:rsidRPr="00AD36D9">
        <w:rPr>
          <w:rFonts w:ascii="Times New Roman" w:hAnsi="Times New Roman" w:cs="Times New Roman"/>
          <w:sz w:val="24"/>
          <w:szCs w:val="24"/>
        </w:rPr>
        <w:t>,</w:t>
      </w:r>
      <w:r w:rsidR="00197675" w:rsidRPr="00AD36D9">
        <w:rPr>
          <w:rFonts w:ascii="Times New Roman" w:hAnsi="Times New Roman" w:cs="Times New Roman"/>
          <w:sz w:val="24"/>
          <w:szCs w:val="24"/>
        </w:rPr>
        <w:t xml:space="preserve"> often </w:t>
      </w:r>
      <w:r w:rsidR="005629D1" w:rsidRPr="00AD36D9">
        <w:rPr>
          <w:rFonts w:ascii="Times New Roman" w:hAnsi="Times New Roman" w:cs="Times New Roman"/>
          <w:sz w:val="24"/>
          <w:szCs w:val="24"/>
        </w:rPr>
        <w:t xml:space="preserve">through </w:t>
      </w:r>
      <w:r w:rsidR="00197675" w:rsidRPr="00AD36D9">
        <w:rPr>
          <w:rFonts w:ascii="Times New Roman" w:hAnsi="Times New Roman" w:cs="Times New Roman"/>
          <w:sz w:val="24"/>
          <w:szCs w:val="24"/>
        </w:rPr>
        <w:t>verbal suggestions (Bandura, 1977).</w:t>
      </w:r>
      <w:r w:rsidR="00F6571F" w:rsidRPr="00AD36D9">
        <w:rPr>
          <w:rFonts w:ascii="Times New Roman" w:hAnsi="Times New Roman" w:cs="Times New Roman"/>
          <w:sz w:val="24"/>
          <w:szCs w:val="24"/>
        </w:rPr>
        <w:t xml:space="preserve"> </w:t>
      </w:r>
      <w:r w:rsidR="005629D1" w:rsidRPr="00AD36D9">
        <w:rPr>
          <w:rFonts w:ascii="Times New Roman" w:hAnsi="Times New Roman" w:cs="Times New Roman"/>
          <w:sz w:val="24"/>
          <w:szCs w:val="24"/>
        </w:rPr>
        <w:t>The fourth source,</w:t>
      </w:r>
      <w:r w:rsidR="00197675" w:rsidRPr="00AD36D9">
        <w:rPr>
          <w:rFonts w:ascii="Times New Roman" w:hAnsi="Times New Roman" w:cs="Times New Roman"/>
          <w:sz w:val="24"/>
          <w:szCs w:val="24"/>
        </w:rPr>
        <w:t xml:space="preserve"> </w:t>
      </w:r>
      <w:r w:rsidR="00197675" w:rsidRPr="00AD36D9">
        <w:rPr>
          <w:rFonts w:ascii="Times New Roman" w:hAnsi="Times New Roman" w:cs="Times New Roman"/>
          <w:i/>
          <w:sz w:val="24"/>
          <w:szCs w:val="24"/>
        </w:rPr>
        <w:t>physiological state</w:t>
      </w:r>
      <w:r w:rsidR="005629D1" w:rsidRPr="00AD36D9">
        <w:rPr>
          <w:rFonts w:ascii="Times New Roman" w:hAnsi="Times New Roman" w:cs="Times New Roman"/>
          <w:sz w:val="24"/>
          <w:szCs w:val="24"/>
        </w:rPr>
        <w:t>,</w:t>
      </w:r>
      <w:r w:rsidR="00197675" w:rsidRPr="00AD36D9">
        <w:rPr>
          <w:rFonts w:ascii="Times New Roman" w:hAnsi="Times New Roman" w:cs="Times New Roman"/>
          <w:sz w:val="24"/>
          <w:szCs w:val="24"/>
        </w:rPr>
        <w:t xml:space="preserve"> includes emotional arousal, tension, anxiety, mood, aches, pains, and fatigue (Bandura, 1998). </w:t>
      </w:r>
    </w:p>
    <w:p w14:paraId="3D8D52DA" w14:textId="77777777" w:rsidR="00B24694" w:rsidRDefault="004B5398" w:rsidP="00BA4A2D">
      <w:pPr>
        <w:pStyle w:val="Heading2"/>
      </w:pPr>
      <w:bookmarkStart w:id="11" w:name="_Toc351528692"/>
      <w:bookmarkStart w:id="12" w:name="_Toc117501911"/>
      <w:r w:rsidRPr="00C94750">
        <w:t>Summary and Organization of the Remainder of the Study</w:t>
      </w:r>
      <w:bookmarkEnd w:id="11"/>
      <w:bookmarkEnd w:id="12"/>
    </w:p>
    <w:p w14:paraId="4BEB9B38" w14:textId="45D55026" w:rsidR="004B5398" w:rsidRPr="00AD36D9" w:rsidRDefault="004B5398" w:rsidP="00BA4A2D">
      <w:pPr>
        <w:widowControl w:val="0"/>
        <w:spacing w:after="0" w:line="480" w:lineRule="auto"/>
        <w:ind w:firstLine="720"/>
        <w:rPr>
          <w:rFonts w:ascii="Times New Roman" w:hAnsi="Times New Roman" w:cs="Times New Roman"/>
          <w:sz w:val="24"/>
          <w:szCs w:val="24"/>
        </w:rPr>
      </w:pPr>
      <w:r w:rsidRPr="00AD36D9">
        <w:rPr>
          <w:rFonts w:ascii="Times New Roman" w:hAnsi="Times New Roman" w:cs="Times New Roman"/>
          <w:sz w:val="24"/>
          <w:szCs w:val="24"/>
        </w:rPr>
        <w:t>Sadler</w:t>
      </w:r>
      <w:r w:rsidR="00B732C0" w:rsidRPr="00AD36D9">
        <w:rPr>
          <w:rFonts w:ascii="Times New Roman" w:hAnsi="Times New Roman" w:cs="Times New Roman"/>
          <w:sz w:val="24"/>
          <w:szCs w:val="24"/>
        </w:rPr>
        <w:t xml:space="preserve"> et al.</w:t>
      </w:r>
      <w:r w:rsidRPr="00AD36D9">
        <w:rPr>
          <w:rFonts w:ascii="Times New Roman" w:hAnsi="Times New Roman" w:cs="Times New Roman"/>
          <w:sz w:val="24"/>
          <w:szCs w:val="24"/>
        </w:rPr>
        <w:t xml:space="preserve"> (2014) explored the role of advanced high school coursework on STEM career interests</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Their research demonstrated a strong connection between taking a second year of high school physics and STEM career pursuit. </w:t>
      </w:r>
      <w:r w:rsidR="00250A69" w:rsidRPr="00AD36D9">
        <w:rPr>
          <w:rFonts w:ascii="Times New Roman" w:eastAsiaTheme="minorEastAsia" w:hAnsi="Times New Roman" w:cs="Times New Roman"/>
          <w:bCs/>
          <w:color w:val="000000" w:themeColor="text1"/>
          <w:kern w:val="24"/>
          <w:sz w:val="24"/>
          <w:szCs w:val="24"/>
        </w:rPr>
        <w:t xml:space="preserve">There exists a </w:t>
      </w:r>
      <w:r w:rsidR="004644F8">
        <w:rPr>
          <w:rFonts w:ascii="Times New Roman" w:eastAsiaTheme="minorEastAsia" w:hAnsi="Times New Roman" w:cs="Times New Roman"/>
          <w:bCs/>
          <w:color w:val="000000" w:themeColor="text1"/>
          <w:kern w:val="24"/>
          <w:sz w:val="24"/>
          <w:szCs w:val="24"/>
        </w:rPr>
        <w:t>decrease</w:t>
      </w:r>
      <w:r w:rsidR="00250A69" w:rsidRPr="00AD36D9">
        <w:rPr>
          <w:rFonts w:ascii="Times New Roman" w:eastAsiaTheme="minorEastAsia" w:hAnsi="Times New Roman" w:cs="Times New Roman"/>
          <w:bCs/>
          <w:color w:val="000000" w:themeColor="text1"/>
          <w:kern w:val="24"/>
          <w:sz w:val="24"/>
          <w:szCs w:val="24"/>
        </w:rPr>
        <w:t xml:space="preserve"> in the proportion of women in second</w:t>
      </w:r>
      <w:r w:rsidR="008159B8">
        <w:rPr>
          <w:rFonts w:ascii="Times New Roman" w:eastAsiaTheme="minorEastAsia" w:hAnsi="Times New Roman" w:cs="Times New Roman"/>
          <w:bCs/>
          <w:color w:val="000000" w:themeColor="text1"/>
          <w:kern w:val="24"/>
          <w:sz w:val="24"/>
          <w:szCs w:val="24"/>
        </w:rPr>
        <w:t>-</w:t>
      </w:r>
      <w:r w:rsidR="00250A69" w:rsidRPr="00AD36D9">
        <w:rPr>
          <w:rFonts w:ascii="Times New Roman" w:eastAsiaTheme="minorEastAsia" w:hAnsi="Times New Roman" w:cs="Times New Roman"/>
          <w:bCs/>
          <w:color w:val="000000" w:themeColor="text1"/>
          <w:kern w:val="24"/>
          <w:sz w:val="24"/>
          <w:szCs w:val="24"/>
        </w:rPr>
        <w:t xml:space="preserve">year high school physics when compared to </w:t>
      </w:r>
      <w:r w:rsidR="008159B8">
        <w:rPr>
          <w:rFonts w:ascii="Times New Roman" w:eastAsiaTheme="minorEastAsia" w:hAnsi="Times New Roman" w:cs="Times New Roman"/>
          <w:bCs/>
          <w:color w:val="000000" w:themeColor="text1"/>
          <w:kern w:val="24"/>
          <w:sz w:val="24"/>
          <w:szCs w:val="24"/>
        </w:rPr>
        <w:t>first-year physics</w:t>
      </w:r>
      <w:r w:rsidR="00250A69" w:rsidRPr="00AD36D9">
        <w:rPr>
          <w:rFonts w:ascii="Times New Roman" w:eastAsiaTheme="minorEastAsia" w:hAnsi="Times New Roman" w:cs="Times New Roman"/>
          <w:bCs/>
          <w:color w:val="000000" w:themeColor="text1"/>
          <w:kern w:val="24"/>
          <w:sz w:val="24"/>
          <w:szCs w:val="24"/>
        </w:rPr>
        <w:t xml:space="preserve"> classes. </w:t>
      </w:r>
      <w:r w:rsidR="00734FB3" w:rsidRPr="00AD36D9">
        <w:rPr>
          <w:rFonts w:ascii="Times New Roman" w:eastAsiaTheme="minorEastAsia" w:hAnsi="Times New Roman" w:cs="Times New Roman"/>
          <w:bCs/>
          <w:color w:val="000000" w:themeColor="text1"/>
          <w:kern w:val="24"/>
          <w:sz w:val="24"/>
          <w:szCs w:val="24"/>
        </w:rPr>
        <w:t>This study explore</w:t>
      </w:r>
      <w:r w:rsidR="00CE519A">
        <w:rPr>
          <w:rFonts w:ascii="Times New Roman" w:eastAsiaTheme="minorEastAsia" w:hAnsi="Times New Roman" w:cs="Times New Roman"/>
          <w:bCs/>
          <w:color w:val="000000" w:themeColor="text1"/>
          <w:kern w:val="24"/>
          <w:sz w:val="24"/>
          <w:szCs w:val="24"/>
        </w:rPr>
        <w:t>d</w:t>
      </w:r>
      <w:r w:rsidR="00734FB3" w:rsidRPr="00AD36D9">
        <w:rPr>
          <w:rFonts w:ascii="Times New Roman" w:eastAsiaTheme="minorEastAsia" w:hAnsi="Times New Roman" w:cs="Times New Roman"/>
          <w:bCs/>
          <w:color w:val="000000" w:themeColor="text1"/>
          <w:kern w:val="24"/>
          <w:sz w:val="24"/>
          <w:szCs w:val="24"/>
        </w:rPr>
        <w:t xml:space="preserve"> the importance of student</w:t>
      </w:r>
      <w:r w:rsidR="0064459B">
        <w:rPr>
          <w:rFonts w:ascii="Times New Roman" w:eastAsiaTheme="minorEastAsia" w:hAnsi="Times New Roman" w:cs="Times New Roman"/>
          <w:bCs/>
          <w:color w:val="000000" w:themeColor="text1"/>
          <w:kern w:val="24"/>
          <w:sz w:val="24"/>
          <w:szCs w:val="24"/>
        </w:rPr>
        <w:t>s’</w:t>
      </w:r>
      <w:r w:rsidR="00734FB3" w:rsidRPr="00AD36D9">
        <w:rPr>
          <w:rFonts w:ascii="Times New Roman" w:eastAsiaTheme="minorEastAsia" w:hAnsi="Times New Roman" w:cs="Times New Roman"/>
          <w:bCs/>
          <w:color w:val="000000" w:themeColor="text1"/>
          <w:kern w:val="24"/>
          <w:sz w:val="24"/>
          <w:szCs w:val="24"/>
        </w:rPr>
        <w:t xml:space="preserve"> self-efficacy and the role </w:t>
      </w:r>
      <w:r w:rsidR="002E2121">
        <w:rPr>
          <w:rFonts w:ascii="Times New Roman" w:eastAsiaTheme="minorEastAsia" w:hAnsi="Times New Roman" w:cs="Times New Roman"/>
          <w:bCs/>
          <w:color w:val="000000" w:themeColor="text1"/>
          <w:kern w:val="24"/>
          <w:sz w:val="24"/>
          <w:szCs w:val="24"/>
        </w:rPr>
        <w:t>its sources</w:t>
      </w:r>
      <w:r w:rsidR="002E2121" w:rsidRPr="00AD36D9">
        <w:rPr>
          <w:rFonts w:ascii="Times New Roman" w:eastAsiaTheme="minorEastAsia" w:hAnsi="Times New Roman" w:cs="Times New Roman"/>
          <w:bCs/>
          <w:color w:val="000000" w:themeColor="text1"/>
          <w:kern w:val="24"/>
          <w:sz w:val="24"/>
          <w:szCs w:val="24"/>
        </w:rPr>
        <w:t xml:space="preserve"> </w:t>
      </w:r>
      <w:r w:rsidR="00CE519A">
        <w:rPr>
          <w:rFonts w:ascii="Times New Roman" w:eastAsiaTheme="minorEastAsia" w:hAnsi="Times New Roman" w:cs="Times New Roman"/>
          <w:bCs/>
          <w:color w:val="000000" w:themeColor="text1"/>
          <w:kern w:val="24"/>
          <w:sz w:val="24"/>
          <w:szCs w:val="24"/>
        </w:rPr>
        <w:t>played</w:t>
      </w:r>
      <w:r w:rsidR="00250A69" w:rsidRPr="00AD36D9">
        <w:rPr>
          <w:rFonts w:ascii="Times New Roman" w:eastAsiaTheme="minorEastAsia" w:hAnsi="Times New Roman" w:cs="Times New Roman"/>
          <w:bCs/>
          <w:color w:val="000000" w:themeColor="text1"/>
          <w:kern w:val="24"/>
          <w:sz w:val="24"/>
          <w:szCs w:val="24"/>
        </w:rPr>
        <w:t xml:space="preserve"> in the enrollment decisions of students</w:t>
      </w:r>
      <w:r w:rsidR="00734FB3" w:rsidRPr="00AD36D9">
        <w:rPr>
          <w:rFonts w:ascii="Times New Roman" w:eastAsiaTheme="minorEastAsia" w:hAnsi="Times New Roman" w:cs="Times New Roman"/>
          <w:bCs/>
          <w:color w:val="000000" w:themeColor="text1"/>
          <w:kern w:val="24"/>
          <w:sz w:val="24"/>
          <w:szCs w:val="24"/>
        </w:rPr>
        <w:t xml:space="preserve">. </w:t>
      </w:r>
      <w:r w:rsidRPr="00AD36D9">
        <w:rPr>
          <w:rFonts w:ascii="Times New Roman" w:hAnsi="Times New Roman" w:cs="Times New Roman"/>
          <w:sz w:val="24"/>
          <w:szCs w:val="24"/>
        </w:rPr>
        <w:t xml:space="preserve">Chapter 2 will provide an </w:t>
      </w:r>
      <w:r w:rsidR="00B732C0" w:rsidRPr="00AD36D9">
        <w:rPr>
          <w:rFonts w:ascii="Times New Roman" w:hAnsi="Times New Roman" w:cs="Times New Roman"/>
          <w:sz w:val="24"/>
          <w:szCs w:val="24"/>
        </w:rPr>
        <w:t>in</w:t>
      </w:r>
      <w:r w:rsidR="00645233">
        <w:rPr>
          <w:rFonts w:ascii="Times New Roman" w:hAnsi="Times New Roman" w:cs="Times New Roman"/>
          <w:sz w:val="24"/>
          <w:szCs w:val="24"/>
        </w:rPr>
        <w:t>-</w:t>
      </w:r>
      <w:r w:rsidR="00B732C0" w:rsidRPr="00AD36D9">
        <w:rPr>
          <w:rFonts w:ascii="Times New Roman" w:hAnsi="Times New Roman" w:cs="Times New Roman"/>
          <w:sz w:val="24"/>
          <w:szCs w:val="24"/>
        </w:rPr>
        <w:t>depth</w:t>
      </w:r>
      <w:r w:rsidRPr="00AD36D9">
        <w:rPr>
          <w:rFonts w:ascii="Times New Roman" w:hAnsi="Times New Roman" w:cs="Times New Roman"/>
          <w:sz w:val="24"/>
          <w:szCs w:val="24"/>
        </w:rPr>
        <w:t xml:space="preserve"> literature review of the research relevant to the problem of limited representation of women in STEM fields as well as how self-efficacy impacts decision making in STEM career paths</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Chapter 3 will describe the methodology used, rationale for this methodology, research design and procedures followed in this study. Chapter 4 will detail how the data </w:t>
      </w:r>
      <w:r w:rsidR="00AF5110">
        <w:rPr>
          <w:rFonts w:ascii="Times New Roman" w:hAnsi="Times New Roman" w:cs="Times New Roman"/>
          <w:sz w:val="24"/>
          <w:szCs w:val="24"/>
        </w:rPr>
        <w:t>were</w:t>
      </w:r>
      <w:r w:rsidR="00AF5110"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analyzed and present the results. Chapter 5 </w:t>
      </w:r>
      <w:r w:rsidR="00250A69" w:rsidRPr="00AD36D9">
        <w:rPr>
          <w:rFonts w:ascii="Times New Roman" w:hAnsi="Times New Roman" w:cs="Times New Roman"/>
          <w:sz w:val="24"/>
          <w:szCs w:val="24"/>
        </w:rPr>
        <w:t xml:space="preserve">will provide </w:t>
      </w:r>
      <w:r w:rsidRPr="00AD36D9">
        <w:rPr>
          <w:rFonts w:ascii="Times New Roman" w:hAnsi="Times New Roman" w:cs="Times New Roman"/>
          <w:sz w:val="24"/>
          <w:szCs w:val="24"/>
        </w:rPr>
        <w:t xml:space="preserve">a discussion on the implication of these results on future practices of educators and how the results add to the existing body of research. </w:t>
      </w:r>
    </w:p>
    <w:p w14:paraId="47378A24" w14:textId="14A23C3D" w:rsidR="004F1CBB" w:rsidRPr="00AD36D9" w:rsidRDefault="004F1CBB" w:rsidP="00BA4A2D">
      <w:pPr>
        <w:widowControl w:val="0"/>
        <w:spacing w:after="0" w:line="480" w:lineRule="auto"/>
        <w:rPr>
          <w:rFonts w:ascii="Times New Roman" w:hAnsi="Times New Roman" w:cs="Times New Roman"/>
          <w:b/>
          <w:sz w:val="24"/>
          <w:szCs w:val="24"/>
        </w:rPr>
      </w:pPr>
    </w:p>
    <w:p w14:paraId="27641B9F" w14:textId="77777777" w:rsidR="00FB6004" w:rsidRDefault="00FB6004" w:rsidP="00BA4A2D">
      <w:pPr>
        <w:widowControl w:val="0"/>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371B27C9" w14:textId="77777777" w:rsidR="008D292F" w:rsidRDefault="008D292F" w:rsidP="00BA4A2D">
      <w:pPr>
        <w:pStyle w:val="Heading1"/>
        <w:jc w:val="center"/>
      </w:pPr>
      <w:bookmarkStart w:id="13" w:name="_Toc117501912"/>
      <w:r>
        <w:lastRenderedPageBreak/>
        <w:t>Chapter 2: Literature Review</w:t>
      </w:r>
      <w:bookmarkEnd w:id="13"/>
    </w:p>
    <w:p w14:paraId="27D20870" w14:textId="77777777" w:rsidR="008D292F" w:rsidRPr="00A868EA" w:rsidRDefault="008D292F" w:rsidP="00BA4A2D">
      <w:pPr>
        <w:pStyle w:val="Heading2"/>
      </w:pPr>
      <w:bookmarkStart w:id="14" w:name="_Toc117501913"/>
      <w:r w:rsidRPr="00A868EA">
        <w:t>Introduction and Rationale for Researching the Problem</w:t>
      </w:r>
      <w:bookmarkEnd w:id="14"/>
    </w:p>
    <w:p w14:paraId="713FE9AA" w14:textId="710B5D77" w:rsidR="0064459B" w:rsidRDefault="008D292F" w:rsidP="0064459B">
      <w:pPr>
        <w:widowControl w:val="0"/>
        <w:spacing w:after="0" w:line="480" w:lineRule="auto"/>
        <w:ind w:firstLine="720"/>
        <w:rPr>
          <w:rFonts w:ascii="Times New Roman" w:hAnsi="Times New Roman" w:cs="Times New Roman"/>
          <w:sz w:val="24"/>
          <w:szCs w:val="24"/>
        </w:rPr>
      </w:pPr>
      <w:r w:rsidRPr="00AD36D9">
        <w:rPr>
          <w:rFonts w:ascii="Times New Roman" w:hAnsi="Times New Roman" w:cs="Times New Roman"/>
          <w:sz w:val="24"/>
          <w:szCs w:val="24"/>
        </w:rPr>
        <w:t>The proportion of women in science and engineering careers is growing</w:t>
      </w:r>
      <w:r w:rsidR="0064459B">
        <w:rPr>
          <w:rFonts w:ascii="Times New Roman" w:hAnsi="Times New Roman" w:cs="Times New Roman"/>
          <w:sz w:val="24"/>
          <w:szCs w:val="24"/>
        </w:rPr>
        <w:t>;</w:t>
      </w:r>
      <w:r w:rsidRPr="00AD36D9">
        <w:rPr>
          <w:rFonts w:ascii="Times New Roman" w:hAnsi="Times New Roman" w:cs="Times New Roman"/>
          <w:sz w:val="24"/>
          <w:szCs w:val="24"/>
        </w:rPr>
        <w:t xml:space="preserve"> yet</w:t>
      </w:r>
      <w:r w:rsidR="0064459B">
        <w:rPr>
          <w:rFonts w:ascii="Times New Roman" w:hAnsi="Times New Roman" w:cs="Times New Roman"/>
          <w:sz w:val="24"/>
          <w:szCs w:val="24"/>
        </w:rPr>
        <w:t>,</w:t>
      </w:r>
      <w:r w:rsidRPr="00AD36D9">
        <w:rPr>
          <w:rFonts w:ascii="Times New Roman" w:hAnsi="Times New Roman" w:cs="Times New Roman"/>
          <w:sz w:val="24"/>
          <w:szCs w:val="24"/>
        </w:rPr>
        <w:t xml:space="preserve"> </w:t>
      </w:r>
      <w:r w:rsidR="004558A0">
        <w:rPr>
          <w:rFonts w:ascii="Times New Roman" w:hAnsi="Times New Roman" w:cs="Times New Roman"/>
          <w:sz w:val="24"/>
          <w:szCs w:val="24"/>
        </w:rPr>
        <w:t>women</w:t>
      </w:r>
      <w:r w:rsidR="004558A0" w:rsidRPr="00AD36D9">
        <w:rPr>
          <w:rFonts w:ascii="Times New Roman" w:hAnsi="Times New Roman" w:cs="Times New Roman"/>
          <w:sz w:val="24"/>
          <w:szCs w:val="24"/>
        </w:rPr>
        <w:t xml:space="preserve"> </w:t>
      </w:r>
      <w:r w:rsidRPr="00AD36D9">
        <w:rPr>
          <w:rFonts w:ascii="Times New Roman" w:hAnsi="Times New Roman" w:cs="Times New Roman"/>
          <w:sz w:val="24"/>
          <w:szCs w:val="24"/>
        </w:rPr>
        <w:t>are still underrepresented</w:t>
      </w:r>
      <w:r>
        <w:rPr>
          <w:rFonts w:ascii="Times New Roman" w:hAnsi="Times New Roman" w:cs="Times New Roman"/>
          <w:sz w:val="24"/>
          <w:szCs w:val="24"/>
        </w:rPr>
        <w:t xml:space="preserve"> in some of the faste</w:t>
      </w:r>
      <w:r w:rsidR="00DA34F1">
        <w:rPr>
          <w:rFonts w:ascii="Times New Roman" w:hAnsi="Times New Roman" w:cs="Times New Roman"/>
          <w:sz w:val="24"/>
          <w:szCs w:val="24"/>
        </w:rPr>
        <w:t>st</w:t>
      </w:r>
      <w:r>
        <w:rPr>
          <w:rFonts w:ascii="Times New Roman" w:hAnsi="Times New Roman" w:cs="Times New Roman"/>
          <w:sz w:val="24"/>
          <w:szCs w:val="24"/>
        </w:rPr>
        <w:t xml:space="preserve"> growing occupations</w:t>
      </w:r>
      <w:r w:rsidRPr="00AD36D9">
        <w:rPr>
          <w:rFonts w:ascii="Times New Roman" w:hAnsi="Times New Roman" w:cs="Times New Roman"/>
          <w:sz w:val="24"/>
          <w:szCs w:val="24"/>
        </w:rPr>
        <w:t xml:space="preserve"> (Moore et al., 2013). In 2003, women comprised 26% of the science and engineering labor force. Over the course of 14 years</w:t>
      </w:r>
      <w:r w:rsidR="0064459B">
        <w:rPr>
          <w:rFonts w:ascii="Times New Roman" w:hAnsi="Times New Roman" w:cs="Times New Roman"/>
          <w:sz w:val="24"/>
          <w:szCs w:val="24"/>
        </w:rPr>
        <w:t>,</w:t>
      </w:r>
      <w:r w:rsidRPr="00AD36D9">
        <w:rPr>
          <w:rFonts w:ascii="Times New Roman" w:hAnsi="Times New Roman" w:cs="Times New Roman"/>
          <w:sz w:val="24"/>
          <w:szCs w:val="24"/>
        </w:rPr>
        <w:t xml:space="preserve"> this share has grown, but only to 29% (National Science Board, 2020). The underrepresentation is evident but varies when looking within the fields of science and engineering as reported by the National Science Board (2020) shown in Table 1.</w:t>
      </w:r>
      <w:r>
        <w:rPr>
          <w:rFonts w:ascii="Times New Roman" w:hAnsi="Times New Roman" w:cs="Times New Roman"/>
          <w:sz w:val="24"/>
          <w:szCs w:val="24"/>
        </w:rPr>
        <w:t xml:space="preserve"> </w:t>
      </w:r>
      <w:r w:rsidR="0064459B" w:rsidRPr="00AD36D9">
        <w:rPr>
          <w:rFonts w:ascii="Times New Roman" w:hAnsi="Times New Roman" w:cs="Times New Roman"/>
          <w:sz w:val="24"/>
          <w:szCs w:val="24"/>
        </w:rPr>
        <w:t xml:space="preserve">Women are gaining parity with men only in the life sciences. Physical sciences, and the occupations associated with them, </w:t>
      </w:r>
      <w:r w:rsidR="0064459B">
        <w:rPr>
          <w:rFonts w:ascii="Times New Roman" w:hAnsi="Times New Roman" w:cs="Times New Roman"/>
          <w:sz w:val="24"/>
          <w:szCs w:val="24"/>
        </w:rPr>
        <w:t xml:space="preserve">still demonstrate an inequity of representation by women. </w:t>
      </w:r>
    </w:p>
    <w:p w14:paraId="22C4BCA1" w14:textId="77777777" w:rsidR="008D292F" w:rsidRPr="00AD36D9" w:rsidRDefault="008D292F" w:rsidP="00BA4A2D">
      <w:pPr>
        <w:widowControl w:val="0"/>
        <w:spacing w:after="0" w:line="480" w:lineRule="auto"/>
        <w:rPr>
          <w:rFonts w:ascii="Times New Roman" w:hAnsi="Times New Roman" w:cs="Times New Roman"/>
          <w:b/>
          <w:sz w:val="24"/>
          <w:szCs w:val="24"/>
        </w:rPr>
      </w:pPr>
      <w:r w:rsidRPr="00AD36D9">
        <w:rPr>
          <w:rFonts w:ascii="Times New Roman" w:hAnsi="Times New Roman" w:cs="Times New Roman"/>
          <w:b/>
          <w:sz w:val="24"/>
          <w:szCs w:val="24"/>
        </w:rPr>
        <w:t>Table 1</w:t>
      </w:r>
    </w:p>
    <w:p w14:paraId="708524AF" w14:textId="11D8CEDE" w:rsidR="008D292F" w:rsidRPr="000666C3" w:rsidRDefault="008D292F" w:rsidP="00BA4A2D">
      <w:pPr>
        <w:widowControl w:val="0"/>
        <w:spacing w:after="0" w:line="480" w:lineRule="auto"/>
        <w:rPr>
          <w:rFonts w:ascii="Times New Roman" w:hAnsi="Times New Roman" w:cs="Times New Roman"/>
          <w:i/>
          <w:sz w:val="24"/>
          <w:szCs w:val="24"/>
        </w:rPr>
      </w:pPr>
      <w:r w:rsidRPr="000666C3">
        <w:rPr>
          <w:rFonts w:ascii="Times New Roman" w:hAnsi="Times New Roman" w:cs="Times New Roman"/>
          <w:i/>
          <w:sz w:val="24"/>
          <w:szCs w:val="24"/>
        </w:rPr>
        <w:t xml:space="preserve">Representation of </w:t>
      </w:r>
      <w:r>
        <w:rPr>
          <w:rFonts w:ascii="Times New Roman" w:hAnsi="Times New Roman" w:cs="Times New Roman"/>
          <w:i/>
          <w:sz w:val="24"/>
          <w:szCs w:val="24"/>
        </w:rPr>
        <w:t>U</w:t>
      </w:r>
      <w:r w:rsidR="0064459B">
        <w:rPr>
          <w:rFonts w:ascii="Times New Roman" w:hAnsi="Times New Roman" w:cs="Times New Roman"/>
          <w:i/>
          <w:sz w:val="24"/>
          <w:szCs w:val="24"/>
        </w:rPr>
        <w:t>.</w:t>
      </w:r>
      <w:r>
        <w:rPr>
          <w:rFonts w:ascii="Times New Roman" w:hAnsi="Times New Roman" w:cs="Times New Roman"/>
          <w:i/>
          <w:sz w:val="24"/>
          <w:szCs w:val="24"/>
        </w:rPr>
        <w:t>S</w:t>
      </w:r>
      <w:r w:rsidR="0064459B">
        <w:rPr>
          <w:rFonts w:ascii="Times New Roman" w:hAnsi="Times New Roman" w:cs="Times New Roman"/>
          <w:i/>
          <w:sz w:val="24"/>
          <w:szCs w:val="24"/>
        </w:rPr>
        <w:t>.</w:t>
      </w:r>
      <w:r>
        <w:rPr>
          <w:rFonts w:ascii="Times New Roman" w:hAnsi="Times New Roman" w:cs="Times New Roman"/>
          <w:i/>
          <w:sz w:val="24"/>
          <w:szCs w:val="24"/>
        </w:rPr>
        <w:t xml:space="preserve"> </w:t>
      </w:r>
      <w:r w:rsidRPr="000666C3">
        <w:rPr>
          <w:rFonts w:ascii="Times New Roman" w:hAnsi="Times New Roman" w:cs="Times New Roman"/>
          <w:i/>
          <w:sz w:val="24"/>
          <w:szCs w:val="24"/>
        </w:rPr>
        <w:t>Women in Science and Engineering Fields</w:t>
      </w:r>
      <w:r>
        <w:rPr>
          <w:rFonts w:ascii="Times New Roman" w:hAnsi="Times New Roman" w:cs="Times New Roman"/>
          <w:i/>
          <w:sz w:val="24"/>
          <w:szCs w:val="24"/>
        </w:rPr>
        <w:t xml:space="preserve"> in 2003 and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1350"/>
        <w:gridCol w:w="1800"/>
      </w:tblGrid>
      <w:tr w:rsidR="0064459B" w:rsidRPr="00AD36D9" w14:paraId="3F1B327D" w14:textId="77777777" w:rsidTr="00BA4A2D">
        <w:tc>
          <w:tcPr>
            <w:tcW w:w="3600" w:type="dxa"/>
            <w:tcBorders>
              <w:top w:val="single" w:sz="4" w:space="0" w:color="auto"/>
              <w:bottom w:val="single" w:sz="4" w:space="0" w:color="auto"/>
            </w:tcBorders>
          </w:tcPr>
          <w:p w14:paraId="3EDD3041" w14:textId="4584E3EE" w:rsidR="0064459B" w:rsidRPr="00AD36D9" w:rsidRDefault="0064459B" w:rsidP="00BA4A2D">
            <w:pPr>
              <w:widowControl w:val="0"/>
              <w:spacing w:after="0" w:line="240" w:lineRule="auto"/>
              <w:jc w:val="center"/>
            </w:pPr>
            <w:r>
              <w:t>Field of Study</w:t>
            </w:r>
          </w:p>
        </w:tc>
        <w:tc>
          <w:tcPr>
            <w:tcW w:w="1350" w:type="dxa"/>
            <w:tcBorders>
              <w:top w:val="single" w:sz="4" w:space="0" w:color="auto"/>
              <w:bottom w:val="single" w:sz="4" w:space="0" w:color="auto"/>
            </w:tcBorders>
            <w:vAlign w:val="bottom"/>
          </w:tcPr>
          <w:p w14:paraId="46910FFE" w14:textId="1628F92B" w:rsidR="0064459B" w:rsidRPr="00AD36D9" w:rsidRDefault="0064459B" w:rsidP="00BA4A2D">
            <w:pPr>
              <w:widowControl w:val="0"/>
              <w:spacing w:after="0" w:line="240" w:lineRule="auto"/>
              <w:jc w:val="center"/>
            </w:pPr>
            <w:r>
              <w:t>% in 2003</w:t>
            </w:r>
          </w:p>
        </w:tc>
        <w:tc>
          <w:tcPr>
            <w:tcW w:w="1800" w:type="dxa"/>
            <w:tcBorders>
              <w:top w:val="single" w:sz="4" w:space="0" w:color="auto"/>
              <w:bottom w:val="single" w:sz="4" w:space="0" w:color="auto"/>
            </w:tcBorders>
          </w:tcPr>
          <w:p w14:paraId="461F7012" w14:textId="40C2733E" w:rsidR="0064459B" w:rsidRPr="00AD36D9" w:rsidRDefault="0064459B" w:rsidP="00BA4A2D">
            <w:pPr>
              <w:widowControl w:val="0"/>
              <w:spacing w:after="0" w:line="240" w:lineRule="auto"/>
              <w:jc w:val="center"/>
            </w:pPr>
            <w:r w:rsidRPr="00AD36D9">
              <w:t xml:space="preserve"> </w:t>
            </w:r>
            <w:r>
              <w:t xml:space="preserve">% in </w:t>
            </w:r>
            <w:r w:rsidRPr="00AD36D9">
              <w:t>2017</w:t>
            </w:r>
            <w:r>
              <w:t xml:space="preserve"> </w:t>
            </w:r>
          </w:p>
        </w:tc>
      </w:tr>
      <w:tr w:rsidR="0064459B" w:rsidRPr="00AD36D9" w14:paraId="600BD4BF" w14:textId="77777777" w:rsidTr="00BA4A2D">
        <w:tc>
          <w:tcPr>
            <w:tcW w:w="3600" w:type="dxa"/>
            <w:tcBorders>
              <w:top w:val="single" w:sz="4" w:space="0" w:color="auto"/>
            </w:tcBorders>
          </w:tcPr>
          <w:p w14:paraId="2D7AD0A8" w14:textId="77777777" w:rsidR="0064459B" w:rsidRDefault="0064459B" w:rsidP="00BA4A2D">
            <w:pPr>
              <w:widowControl w:val="0"/>
              <w:spacing w:after="0" w:line="240" w:lineRule="auto"/>
            </w:pPr>
            <w:r>
              <w:t xml:space="preserve">   </w:t>
            </w:r>
            <w:r w:rsidRPr="00AD36D9">
              <w:t>Engineering</w:t>
            </w:r>
          </w:p>
        </w:tc>
        <w:tc>
          <w:tcPr>
            <w:tcW w:w="1350" w:type="dxa"/>
            <w:tcBorders>
              <w:top w:val="single" w:sz="4" w:space="0" w:color="auto"/>
            </w:tcBorders>
          </w:tcPr>
          <w:p w14:paraId="5BA37FB7" w14:textId="77777777" w:rsidR="0064459B" w:rsidRDefault="0064459B" w:rsidP="00BA4A2D">
            <w:pPr>
              <w:widowControl w:val="0"/>
              <w:spacing w:after="0" w:line="240" w:lineRule="auto"/>
              <w:jc w:val="center"/>
            </w:pPr>
            <w:r>
              <w:t>10</w:t>
            </w:r>
          </w:p>
        </w:tc>
        <w:tc>
          <w:tcPr>
            <w:tcW w:w="1800" w:type="dxa"/>
            <w:tcBorders>
              <w:top w:val="single" w:sz="4" w:space="0" w:color="auto"/>
            </w:tcBorders>
          </w:tcPr>
          <w:p w14:paraId="2A6782A6" w14:textId="77777777" w:rsidR="0064459B" w:rsidRDefault="0064459B" w:rsidP="00BA4A2D">
            <w:pPr>
              <w:widowControl w:val="0"/>
              <w:spacing w:after="0" w:line="240" w:lineRule="auto"/>
              <w:jc w:val="center"/>
            </w:pPr>
            <w:r>
              <w:t>16</w:t>
            </w:r>
          </w:p>
        </w:tc>
      </w:tr>
      <w:tr w:rsidR="0064459B" w:rsidRPr="00AD36D9" w14:paraId="0F310460" w14:textId="77777777" w:rsidTr="00BA4A2D">
        <w:tc>
          <w:tcPr>
            <w:tcW w:w="3600" w:type="dxa"/>
          </w:tcPr>
          <w:p w14:paraId="40ED974D" w14:textId="77777777" w:rsidR="0064459B" w:rsidRPr="00AD36D9" w:rsidRDefault="0064459B" w:rsidP="00BA4A2D">
            <w:pPr>
              <w:widowControl w:val="0"/>
              <w:spacing w:after="0" w:line="240" w:lineRule="auto"/>
            </w:pPr>
            <w:r>
              <w:t xml:space="preserve">   </w:t>
            </w:r>
            <w:r w:rsidRPr="00AD36D9">
              <w:t>Computer Science and Math</w:t>
            </w:r>
          </w:p>
        </w:tc>
        <w:tc>
          <w:tcPr>
            <w:tcW w:w="1350" w:type="dxa"/>
          </w:tcPr>
          <w:p w14:paraId="75D23EBC" w14:textId="77777777" w:rsidR="0064459B" w:rsidRPr="00AD36D9" w:rsidRDefault="0064459B" w:rsidP="00BA4A2D">
            <w:pPr>
              <w:widowControl w:val="0"/>
              <w:spacing w:after="0" w:line="240" w:lineRule="auto"/>
              <w:jc w:val="center"/>
            </w:pPr>
            <w:r>
              <w:t>28</w:t>
            </w:r>
          </w:p>
        </w:tc>
        <w:tc>
          <w:tcPr>
            <w:tcW w:w="1800" w:type="dxa"/>
          </w:tcPr>
          <w:p w14:paraId="1DBDA35E" w14:textId="77777777" w:rsidR="0064459B" w:rsidRPr="00AD36D9" w:rsidRDefault="0064459B" w:rsidP="00BA4A2D">
            <w:pPr>
              <w:widowControl w:val="0"/>
              <w:spacing w:after="0" w:line="240" w:lineRule="auto"/>
              <w:jc w:val="center"/>
            </w:pPr>
            <w:r>
              <w:t>27</w:t>
            </w:r>
          </w:p>
        </w:tc>
      </w:tr>
      <w:tr w:rsidR="0064459B" w:rsidRPr="00AD36D9" w14:paraId="6E0041C5" w14:textId="77777777" w:rsidTr="00BA4A2D">
        <w:tc>
          <w:tcPr>
            <w:tcW w:w="3600" w:type="dxa"/>
          </w:tcPr>
          <w:p w14:paraId="66818554" w14:textId="77777777" w:rsidR="0064459B" w:rsidRPr="00AD36D9" w:rsidRDefault="0064459B" w:rsidP="00BA4A2D">
            <w:pPr>
              <w:widowControl w:val="0"/>
              <w:spacing w:after="0" w:line="240" w:lineRule="auto"/>
            </w:pPr>
            <w:r>
              <w:t xml:space="preserve">   </w:t>
            </w:r>
            <w:r w:rsidRPr="00AD36D9">
              <w:t>Physical Science</w:t>
            </w:r>
          </w:p>
        </w:tc>
        <w:tc>
          <w:tcPr>
            <w:tcW w:w="1350" w:type="dxa"/>
          </w:tcPr>
          <w:p w14:paraId="11E4D909" w14:textId="77777777" w:rsidR="0064459B" w:rsidRPr="00AD36D9" w:rsidRDefault="0064459B" w:rsidP="00BA4A2D">
            <w:pPr>
              <w:widowControl w:val="0"/>
              <w:spacing w:after="0" w:line="240" w:lineRule="auto"/>
              <w:jc w:val="center"/>
            </w:pPr>
            <w:r>
              <w:t>29</w:t>
            </w:r>
          </w:p>
        </w:tc>
        <w:tc>
          <w:tcPr>
            <w:tcW w:w="1800" w:type="dxa"/>
          </w:tcPr>
          <w:p w14:paraId="1366E8DE" w14:textId="77777777" w:rsidR="0064459B" w:rsidRPr="00AD36D9" w:rsidRDefault="0064459B" w:rsidP="00BA4A2D">
            <w:pPr>
              <w:widowControl w:val="0"/>
              <w:spacing w:after="0" w:line="240" w:lineRule="auto"/>
              <w:jc w:val="center"/>
            </w:pPr>
            <w:r>
              <w:t>29</w:t>
            </w:r>
          </w:p>
        </w:tc>
      </w:tr>
      <w:tr w:rsidR="0064459B" w:rsidRPr="00AD36D9" w14:paraId="2E280AF1" w14:textId="77777777" w:rsidTr="00BA4A2D">
        <w:tc>
          <w:tcPr>
            <w:tcW w:w="3600" w:type="dxa"/>
            <w:tcBorders>
              <w:bottom w:val="single" w:sz="4" w:space="0" w:color="auto"/>
            </w:tcBorders>
          </w:tcPr>
          <w:p w14:paraId="1AE81A74" w14:textId="77777777" w:rsidR="0064459B" w:rsidRPr="00AD36D9" w:rsidRDefault="0064459B" w:rsidP="00BA4A2D">
            <w:pPr>
              <w:widowControl w:val="0"/>
              <w:spacing w:after="0" w:line="240" w:lineRule="auto"/>
            </w:pPr>
            <w:r>
              <w:t xml:space="preserve">   </w:t>
            </w:r>
            <w:r w:rsidRPr="00AD36D9">
              <w:t>Life Sciences</w:t>
            </w:r>
          </w:p>
        </w:tc>
        <w:tc>
          <w:tcPr>
            <w:tcW w:w="1350" w:type="dxa"/>
            <w:tcBorders>
              <w:bottom w:val="single" w:sz="4" w:space="0" w:color="auto"/>
            </w:tcBorders>
          </w:tcPr>
          <w:p w14:paraId="554B9F98" w14:textId="77777777" w:rsidR="0064459B" w:rsidRPr="00AD36D9" w:rsidRDefault="0064459B" w:rsidP="00BA4A2D">
            <w:pPr>
              <w:widowControl w:val="0"/>
              <w:spacing w:after="0" w:line="240" w:lineRule="auto"/>
              <w:jc w:val="center"/>
            </w:pPr>
            <w:r>
              <w:t>40</w:t>
            </w:r>
          </w:p>
        </w:tc>
        <w:tc>
          <w:tcPr>
            <w:tcW w:w="1800" w:type="dxa"/>
            <w:tcBorders>
              <w:bottom w:val="single" w:sz="4" w:space="0" w:color="auto"/>
            </w:tcBorders>
          </w:tcPr>
          <w:p w14:paraId="513660AF" w14:textId="77777777" w:rsidR="0064459B" w:rsidRPr="00AD36D9" w:rsidRDefault="0064459B" w:rsidP="00BA4A2D">
            <w:pPr>
              <w:widowControl w:val="0"/>
              <w:spacing w:after="0" w:line="240" w:lineRule="auto"/>
              <w:jc w:val="center"/>
            </w:pPr>
            <w:r>
              <w:t>48</w:t>
            </w:r>
          </w:p>
        </w:tc>
      </w:tr>
    </w:tbl>
    <w:p w14:paraId="025BCEC6" w14:textId="77777777" w:rsidR="008D292F" w:rsidRDefault="008D292F" w:rsidP="00BA4A2D">
      <w:pPr>
        <w:widowControl w:val="0"/>
        <w:spacing w:after="0" w:line="480" w:lineRule="auto"/>
        <w:rPr>
          <w:rFonts w:ascii="Times New Roman" w:hAnsi="Times New Roman" w:cs="Times New Roman"/>
          <w:sz w:val="20"/>
          <w:szCs w:val="20"/>
        </w:rPr>
      </w:pPr>
      <w:r w:rsidRPr="00BA4A2D">
        <w:rPr>
          <w:rFonts w:ascii="Times New Roman" w:hAnsi="Times New Roman" w:cs="Times New Roman"/>
          <w:i/>
          <w:sz w:val="24"/>
          <w:szCs w:val="24"/>
        </w:rPr>
        <w:t>Note</w:t>
      </w:r>
      <w:r w:rsidRPr="00BA4A2D">
        <w:rPr>
          <w:rFonts w:ascii="Times New Roman" w:hAnsi="Times New Roman" w:cs="Times New Roman"/>
          <w:sz w:val="24"/>
          <w:szCs w:val="24"/>
        </w:rPr>
        <w:t>. Table adapted from National Science Board (2020).</w:t>
      </w:r>
    </w:p>
    <w:p w14:paraId="0C781666" w14:textId="7A90375D" w:rsidR="008D292F" w:rsidRPr="00AD36D9" w:rsidRDefault="008D292F" w:rsidP="00BA4A2D">
      <w:pPr>
        <w:widowControl w:val="0"/>
        <w:spacing w:after="0" w:line="480" w:lineRule="auto"/>
        <w:ind w:firstLine="720"/>
        <w:rPr>
          <w:rFonts w:ascii="Times New Roman" w:hAnsi="Times New Roman" w:cs="Times New Roman"/>
          <w:sz w:val="24"/>
          <w:szCs w:val="24"/>
        </w:rPr>
      </w:pPr>
      <w:r w:rsidRPr="00AD36D9">
        <w:rPr>
          <w:rFonts w:ascii="Times New Roman" w:hAnsi="Times New Roman" w:cs="Times New Roman"/>
          <w:sz w:val="24"/>
          <w:szCs w:val="24"/>
        </w:rPr>
        <w:t>The Bureau of Labor and Statistics (</w:t>
      </w:r>
      <w:r w:rsidR="004B3EE8">
        <w:rPr>
          <w:rFonts w:ascii="Times New Roman" w:hAnsi="Times New Roman" w:cs="Times New Roman"/>
          <w:sz w:val="24"/>
          <w:szCs w:val="24"/>
        </w:rPr>
        <w:t xml:space="preserve">BLS, </w:t>
      </w:r>
      <w:r w:rsidRPr="00AD36D9">
        <w:rPr>
          <w:rFonts w:ascii="Times New Roman" w:hAnsi="Times New Roman" w:cs="Times New Roman"/>
          <w:sz w:val="24"/>
          <w:szCs w:val="24"/>
        </w:rPr>
        <w:t xml:space="preserve">2020) projects that computer and information technology </w:t>
      </w:r>
      <w:r w:rsidR="004558A0">
        <w:rPr>
          <w:rFonts w:ascii="Times New Roman" w:hAnsi="Times New Roman" w:cs="Times New Roman"/>
          <w:sz w:val="24"/>
          <w:szCs w:val="24"/>
        </w:rPr>
        <w:t>will</w:t>
      </w:r>
      <w:r w:rsidRPr="00AD36D9">
        <w:rPr>
          <w:rFonts w:ascii="Times New Roman" w:hAnsi="Times New Roman" w:cs="Times New Roman"/>
          <w:sz w:val="24"/>
          <w:szCs w:val="24"/>
        </w:rPr>
        <w:t xml:space="preserve"> grow faster than any other occupation between 20</w:t>
      </w:r>
      <w:r>
        <w:rPr>
          <w:rFonts w:ascii="Times New Roman" w:hAnsi="Times New Roman" w:cs="Times New Roman"/>
          <w:sz w:val="24"/>
          <w:szCs w:val="24"/>
        </w:rPr>
        <w:t>20</w:t>
      </w:r>
      <w:r w:rsidRPr="00AD36D9">
        <w:rPr>
          <w:rFonts w:ascii="Times New Roman" w:hAnsi="Times New Roman" w:cs="Times New Roman"/>
          <w:sz w:val="24"/>
          <w:szCs w:val="24"/>
        </w:rPr>
        <w:t xml:space="preserve"> and 20</w:t>
      </w:r>
      <w:r>
        <w:rPr>
          <w:rFonts w:ascii="Times New Roman" w:hAnsi="Times New Roman" w:cs="Times New Roman"/>
          <w:sz w:val="24"/>
          <w:szCs w:val="24"/>
        </w:rPr>
        <w:t>30</w:t>
      </w:r>
      <w:r w:rsidRPr="00AD36D9">
        <w:rPr>
          <w:rFonts w:ascii="Times New Roman" w:hAnsi="Times New Roman" w:cs="Times New Roman"/>
          <w:sz w:val="24"/>
          <w:szCs w:val="24"/>
        </w:rPr>
        <w:t xml:space="preserve"> with the projected addition of over </w:t>
      </w:r>
      <w:r>
        <w:rPr>
          <w:rFonts w:ascii="Times New Roman" w:hAnsi="Times New Roman" w:cs="Times New Roman"/>
          <w:sz w:val="24"/>
          <w:szCs w:val="24"/>
        </w:rPr>
        <w:t>660,000</w:t>
      </w:r>
      <w:r w:rsidRPr="00AD36D9">
        <w:rPr>
          <w:rFonts w:ascii="Times New Roman" w:hAnsi="Times New Roman" w:cs="Times New Roman"/>
          <w:sz w:val="24"/>
          <w:szCs w:val="24"/>
        </w:rPr>
        <w:t xml:space="preserve"> new jobs.</w:t>
      </w:r>
      <w:r>
        <w:rPr>
          <w:rFonts w:ascii="Times New Roman" w:hAnsi="Times New Roman" w:cs="Times New Roman"/>
          <w:sz w:val="24"/>
          <w:szCs w:val="24"/>
        </w:rPr>
        <w:t xml:space="preserve"> Artificial intelligence (AI) and the management of data are two STEM careers where an opportunity and demand for an increased labor force exists. </w:t>
      </w:r>
      <w:r w:rsidRPr="00AD36D9">
        <w:rPr>
          <w:rFonts w:ascii="Times New Roman" w:hAnsi="Times New Roman" w:cs="Times New Roman"/>
          <w:sz w:val="24"/>
          <w:szCs w:val="24"/>
        </w:rPr>
        <w:t xml:space="preserve">Originally conceived in the 1950s, AI began as an academic concept with limited practical applications, however, with the rise of </w:t>
      </w:r>
      <w:r w:rsidR="004B3EE8">
        <w:rPr>
          <w:rFonts w:ascii="Times New Roman" w:hAnsi="Times New Roman" w:cs="Times New Roman"/>
          <w:sz w:val="24"/>
          <w:szCs w:val="24"/>
        </w:rPr>
        <w:t>B</w:t>
      </w:r>
      <w:r w:rsidRPr="00AD36D9">
        <w:rPr>
          <w:rFonts w:ascii="Times New Roman" w:hAnsi="Times New Roman" w:cs="Times New Roman"/>
          <w:sz w:val="24"/>
          <w:szCs w:val="24"/>
        </w:rPr>
        <w:t xml:space="preserve">ig Data and computing power, AI is a part of the business conversation (Haenlein &amp; Kaplan, 2019). The core of AI is to enable a system to interpret external data, learn and modify algorithms from this data, and then apply these modified </w:t>
      </w:r>
      <w:r w:rsidRPr="00AD36D9">
        <w:rPr>
          <w:rFonts w:ascii="Times New Roman" w:hAnsi="Times New Roman" w:cs="Times New Roman"/>
          <w:sz w:val="24"/>
          <w:szCs w:val="24"/>
        </w:rPr>
        <w:lastRenderedPageBreak/>
        <w:t>algorithms to achieve specific goals via this adaptation (Haenlein &amp; Kaplan, 2019). There is a growing industrial emphasis in cloud computing, large data storage, and information security (</w:t>
      </w:r>
      <w:r w:rsidR="00EC79FD">
        <w:rPr>
          <w:rFonts w:ascii="Times New Roman" w:hAnsi="Times New Roman" w:cs="Times New Roman"/>
          <w:sz w:val="24"/>
          <w:szCs w:val="24"/>
        </w:rPr>
        <w:t>BLS</w:t>
      </w:r>
      <w:r w:rsidRPr="00AD36D9">
        <w:rPr>
          <w:rFonts w:ascii="Times New Roman" w:hAnsi="Times New Roman" w:cs="Times New Roman"/>
          <w:sz w:val="24"/>
          <w:szCs w:val="24"/>
        </w:rPr>
        <w:t>, 2020). The ability to gather and store data has grown tremendously and has been noticed by retailers. Retailers are planning to invest in AI technologies solidifying the responsibility of educators to prepare a labor force to meet that demand</w:t>
      </w:r>
      <w:r w:rsidR="00AA6235">
        <w:rPr>
          <w:rFonts w:ascii="Times New Roman" w:hAnsi="Times New Roman" w:cs="Times New Roman"/>
          <w:sz w:val="24"/>
          <w:szCs w:val="24"/>
        </w:rPr>
        <w:t xml:space="preserve"> (Neary et al., 2018)</w:t>
      </w:r>
      <w:r w:rsidRPr="00AD36D9">
        <w:rPr>
          <w:rFonts w:ascii="Times New Roman" w:hAnsi="Times New Roman" w:cs="Times New Roman"/>
          <w:sz w:val="24"/>
          <w:szCs w:val="24"/>
        </w:rPr>
        <w:t xml:space="preserve">. </w:t>
      </w:r>
    </w:p>
    <w:p w14:paraId="75FFF163" w14:textId="77777777" w:rsidR="008D292F" w:rsidRDefault="008D292F" w:rsidP="00BA4A2D">
      <w:pPr>
        <w:pStyle w:val="Heading2"/>
      </w:pPr>
      <w:bookmarkStart w:id="15" w:name="_Toc117501914"/>
      <w:r w:rsidRPr="008D6103">
        <w:t>Factors Impacting Underrepresentation of Women in STEM Careers</w:t>
      </w:r>
      <w:bookmarkEnd w:id="15"/>
    </w:p>
    <w:p w14:paraId="76DC54DA" w14:textId="0C350C55" w:rsidR="008D292F" w:rsidRPr="00A74D1E" w:rsidRDefault="008D292F" w:rsidP="00BA4A2D">
      <w:pPr>
        <w:widowControl w:val="0"/>
        <w:spacing w:after="0" w:line="480" w:lineRule="auto"/>
        <w:rPr>
          <w:rFonts w:ascii="Times New Roman" w:hAnsi="Times New Roman" w:cs="Times New Roman"/>
          <w:b/>
          <w:sz w:val="24"/>
          <w:szCs w:val="24"/>
        </w:rPr>
      </w:pPr>
      <w:r w:rsidRPr="00A74D1E">
        <w:rPr>
          <w:rFonts w:ascii="Times New Roman" w:hAnsi="Times New Roman" w:cs="Times New Roman"/>
          <w:b/>
          <w:sz w:val="24"/>
          <w:szCs w:val="24"/>
        </w:rPr>
        <w:t xml:space="preserve">Low Representation and Enrollment Along STEM </w:t>
      </w:r>
      <w:r w:rsidR="0026329C" w:rsidRPr="00A74D1E">
        <w:rPr>
          <w:rFonts w:ascii="Times New Roman" w:hAnsi="Times New Roman" w:cs="Times New Roman"/>
          <w:b/>
          <w:sz w:val="24"/>
          <w:szCs w:val="24"/>
        </w:rPr>
        <w:t>Career Pathways</w:t>
      </w:r>
    </w:p>
    <w:p w14:paraId="7DB032FE" w14:textId="339498B7" w:rsidR="008D292F" w:rsidRDefault="008D292F"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Trends in pathways to a STEM career </w:t>
      </w:r>
      <w:r w:rsidR="001773D0">
        <w:rPr>
          <w:rFonts w:ascii="Times New Roman" w:hAnsi="Times New Roman" w:cs="Times New Roman"/>
          <w:sz w:val="24"/>
          <w:szCs w:val="24"/>
        </w:rPr>
        <w:t>have been</w:t>
      </w:r>
      <w:r>
        <w:rPr>
          <w:rFonts w:ascii="Times New Roman" w:hAnsi="Times New Roman" w:cs="Times New Roman"/>
          <w:sz w:val="24"/>
          <w:szCs w:val="24"/>
        </w:rPr>
        <w:t xml:space="preserve"> traced backwards from graduate degrees earned, majors of study in college, and high school enrollment decisions. Patterns </w:t>
      </w:r>
      <w:r w:rsidR="001773D0">
        <w:rPr>
          <w:rFonts w:ascii="Times New Roman" w:hAnsi="Times New Roman" w:cs="Times New Roman"/>
          <w:sz w:val="24"/>
          <w:szCs w:val="24"/>
        </w:rPr>
        <w:t xml:space="preserve">were </w:t>
      </w:r>
      <w:r>
        <w:rPr>
          <w:rFonts w:ascii="Times New Roman" w:hAnsi="Times New Roman" w:cs="Times New Roman"/>
          <w:sz w:val="24"/>
          <w:szCs w:val="24"/>
        </w:rPr>
        <w:t xml:space="preserve">evident all along this pathway leading to underrepresentation of women in STEM careers. Gender differences </w:t>
      </w:r>
      <w:r w:rsidR="001773D0">
        <w:rPr>
          <w:rFonts w:ascii="Times New Roman" w:hAnsi="Times New Roman" w:cs="Times New Roman"/>
          <w:sz w:val="24"/>
          <w:szCs w:val="24"/>
        </w:rPr>
        <w:t xml:space="preserve">have </w:t>
      </w:r>
      <w:r>
        <w:rPr>
          <w:rFonts w:ascii="Times New Roman" w:hAnsi="Times New Roman" w:cs="Times New Roman"/>
          <w:sz w:val="24"/>
          <w:szCs w:val="24"/>
        </w:rPr>
        <w:t xml:space="preserve">even </w:t>
      </w:r>
      <w:r w:rsidR="00AF5DDD">
        <w:rPr>
          <w:rFonts w:ascii="Times New Roman" w:hAnsi="Times New Roman" w:cs="Times New Roman"/>
          <w:sz w:val="24"/>
          <w:szCs w:val="24"/>
        </w:rPr>
        <w:t>been</w:t>
      </w:r>
      <w:r>
        <w:rPr>
          <w:rFonts w:ascii="Times New Roman" w:hAnsi="Times New Roman" w:cs="Times New Roman"/>
          <w:sz w:val="24"/>
          <w:szCs w:val="24"/>
        </w:rPr>
        <w:t xml:space="preserve"> found </w:t>
      </w:r>
      <w:r w:rsidR="004558A0">
        <w:rPr>
          <w:rFonts w:ascii="Times New Roman" w:hAnsi="Times New Roman" w:cs="Times New Roman"/>
          <w:sz w:val="24"/>
          <w:szCs w:val="24"/>
        </w:rPr>
        <w:t xml:space="preserve">in </w:t>
      </w:r>
      <w:r>
        <w:rPr>
          <w:rFonts w:ascii="Times New Roman" w:hAnsi="Times New Roman" w:cs="Times New Roman"/>
          <w:sz w:val="24"/>
          <w:szCs w:val="24"/>
        </w:rPr>
        <w:t xml:space="preserve">authorship positions </w:t>
      </w:r>
      <w:r w:rsidR="004558A0">
        <w:rPr>
          <w:rFonts w:ascii="Times New Roman" w:hAnsi="Times New Roman" w:cs="Times New Roman"/>
          <w:sz w:val="24"/>
          <w:szCs w:val="24"/>
        </w:rPr>
        <w:t xml:space="preserve">of </w:t>
      </w:r>
      <w:r>
        <w:rPr>
          <w:rFonts w:ascii="Times New Roman" w:hAnsi="Times New Roman" w:cs="Times New Roman"/>
          <w:sz w:val="24"/>
          <w:szCs w:val="24"/>
        </w:rPr>
        <w:t xml:space="preserve">published research articles. Holman et al. (2018) </w:t>
      </w:r>
      <w:r w:rsidR="00AF5DDD">
        <w:rPr>
          <w:rFonts w:ascii="Times New Roman" w:hAnsi="Times New Roman" w:cs="Times New Roman"/>
          <w:sz w:val="24"/>
          <w:szCs w:val="24"/>
        </w:rPr>
        <w:t>reviewed</w:t>
      </w:r>
      <w:r>
        <w:rPr>
          <w:rFonts w:ascii="Times New Roman" w:hAnsi="Times New Roman" w:cs="Times New Roman"/>
          <w:sz w:val="24"/>
          <w:szCs w:val="24"/>
        </w:rPr>
        <w:t xml:space="preserve"> 36 million STEM related articles published over 15 years</w:t>
      </w:r>
      <w:r w:rsidR="00AF5DDD">
        <w:rPr>
          <w:rFonts w:ascii="Times New Roman" w:hAnsi="Times New Roman" w:cs="Times New Roman"/>
          <w:sz w:val="24"/>
          <w:szCs w:val="24"/>
        </w:rPr>
        <w:t xml:space="preserve"> and</w:t>
      </w:r>
      <w:r>
        <w:rPr>
          <w:rFonts w:ascii="Times New Roman" w:hAnsi="Times New Roman" w:cs="Times New Roman"/>
          <w:sz w:val="24"/>
          <w:szCs w:val="24"/>
        </w:rPr>
        <w:t xml:space="preserve"> found women to be underrepresented in both single authors and senior last author position. </w:t>
      </w:r>
      <w:r w:rsidR="00AF5DDD">
        <w:rPr>
          <w:rFonts w:ascii="Times New Roman" w:hAnsi="Times New Roman" w:cs="Times New Roman"/>
          <w:sz w:val="24"/>
          <w:szCs w:val="24"/>
        </w:rPr>
        <w:t>The u</w:t>
      </w:r>
      <w:r>
        <w:rPr>
          <w:rFonts w:ascii="Times New Roman" w:hAnsi="Times New Roman" w:cs="Times New Roman"/>
          <w:sz w:val="24"/>
          <w:szCs w:val="24"/>
        </w:rPr>
        <w:t xml:space="preserve">nderrepresentation of women in STEM authorship was also confirmed by Sauder et al. (2022) in the medical field. These researchers found that first authorship positions were held by men in 71.8% of publications and senior author position was </w:t>
      </w:r>
      <w:r w:rsidR="004558A0">
        <w:rPr>
          <w:rFonts w:ascii="Times New Roman" w:hAnsi="Times New Roman" w:cs="Times New Roman"/>
          <w:sz w:val="24"/>
          <w:szCs w:val="24"/>
        </w:rPr>
        <w:t xml:space="preserve">held </w:t>
      </w:r>
      <w:r>
        <w:rPr>
          <w:rFonts w:ascii="Times New Roman" w:hAnsi="Times New Roman" w:cs="Times New Roman"/>
          <w:sz w:val="24"/>
          <w:szCs w:val="24"/>
        </w:rPr>
        <w:t xml:space="preserve">by men 82.3% of the time. </w:t>
      </w:r>
      <w:r w:rsidR="00AF5DDD">
        <w:rPr>
          <w:rFonts w:ascii="Times New Roman" w:hAnsi="Times New Roman" w:cs="Times New Roman"/>
          <w:sz w:val="24"/>
          <w:szCs w:val="24"/>
        </w:rPr>
        <w:t xml:space="preserve">Longitudinal analysis indicates that the gender parity in physics publications is predicted to occur in 258 years given the slow rate of growth in representation by women (Holman et al., 2018). </w:t>
      </w:r>
      <w:r w:rsidR="00C15449">
        <w:rPr>
          <w:rFonts w:ascii="Times New Roman" w:hAnsi="Times New Roman" w:cs="Times New Roman"/>
          <w:sz w:val="24"/>
          <w:szCs w:val="24"/>
        </w:rPr>
        <w:t xml:space="preserve">In reviewing the possible causes for the underrepresentation of women in scholarly publications, </w:t>
      </w:r>
      <w:r>
        <w:rPr>
          <w:rFonts w:ascii="Times New Roman" w:hAnsi="Times New Roman" w:cs="Times New Roman"/>
          <w:sz w:val="24"/>
          <w:szCs w:val="24"/>
        </w:rPr>
        <w:t>Hosseini and Shiva (2021) found that women believe that gender roles and gender biases inhibited access to academic opportunities for publication.</w:t>
      </w:r>
    </w:p>
    <w:p w14:paraId="6BA12797" w14:textId="2C6FF332" w:rsidR="008D292F" w:rsidRDefault="0021079F" w:rsidP="00BA4A2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contributing factor to the underrepresentation of women in STEM careers </w:t>
      </w:r>
      <w:r w:rsidR="009401DB">
        <w:rPr>
          <w:rFonts w:ascii="Times New Roman" w:hAnsi="Times New Roman" w:cs="Times New Roman"/>
          <w:sz w:val="24"/>
          <w:szCs w:val="24"/>
        </w:rPr>
        <w:t>is evident when examining the</w:t>
      </w:r>
      <w:r>
        <w:rPr>
          <w:rFonts w:ascii="Times New Roman" w:hAnsi="Times New Roman" w:cs="Times New Roman"/>
          <w:sz w:val="24"/>
          <w:szCs w:val="24"/>
        </w:rPr>
        <w:t xml:space="preserve"> patterns in the degrees </w:t>
      </w:r>
      <w:r w:rsidR="00981691">
        <w:rPr>
          <w:rFonts w:ascii="Times New Roman" w:hAnsi="Times New Roman" w:cs="Times New Roman"/>
          <w:sz w:val="24"/>
          <w:szCs w:val="24"/>
        </w:rPr>
        <w:t>awarded</w:t>
      </w:r>
      <w:r>
        <w:rPr>
          <w:rFonts w:ascii="Times New Roman" w:hAnsi="Times New Roman" w:cs="Times New Roman"/>
          <w:sz w:val="24"/>
          <w:szCs w:val="24"/>
        </w:rPr>
        <w:t xml:space="preserve"> </w:t>
      </w:r>
      <w:r w:rsidR="00367F93">
        <w:rPr>
          <w:rFonts w:ascii="Times New Roman" w:hAnsi="Times New Roman" w:cs="Times New Roman"/>
          <w:sz w:val="24"/>
          <w:szCs w:val="24"/>
        </w:rPr>
        <w:t xml:space="preserve">to </w:t>
      </w:r>
      <w:r>
        <w:rPr>
          <w:rFonts w:ascii="Times New Roman" w:hAnsi="Times New Roman" w:cs="Times New Roman"/>
          <w:sz w:val="24"/>
          <w:szCs w:val="24"/>
        </w:rPr>
        <w:t xml:space="preserve">women. </w:t>
      </w:r>
      <w:r w:rsidR="008D292F">
        <w:rPr>
          <w:rFonts w:ascii="Times New Roman" w:hAnsi="Times New Roman" w:cs="Times New Roman"/>
          <w:sz w:val="24"/>
          <w:szCs w:val="24"/>
        </w:rPr>
        <w:t>Research</w:t>
      </w:r>
      <w:r w:rsidR="00367F93">
        <w:rPr>
          <w:rFonts w:ascii="Times New Roman" w:hAnsi="Times New Roman" w:cs="Times New Roman"/>
          <w:sz w:val="24"/>
          <w:szCs w:val="24"/>
        </w:rPr>
        <w:t>ers who have</w:t>
      </w:r>
      <w:r w:rsidR="008D292F">
        <w:rPr>
          <w:rFonts w:ascii="Times New Roman" w:hAnsi="Times New Roman" w:cs="Times New Roman"/>
          <w:sz w:val="24"/>
          <w:szCs w:val="24"/>
        </w:rPr>
        <w:t xml:space="preserve"> </w:t>
      </w:r>
      <w:r w:rsidR="008D292F">
        <w:rPr>
          <w:rFonts w:ascii="Times New Roman" w:hAnsi="Times New Roman" w:cs="Times New Roman"/>
          <w:sz w:val="24"/>
          <w:szCs w:val="24"/>
        </w:rPr>
        <w:lastRenderedPageBreak/>
        <w:t xml:space="preserve">aimed at examining </w:t>
      </w:r>
      <w:r>
        <w:rPr>
          <w:rFonts w:ascii="Times New Roman" w:hAnsi="Times New Roman" w:cs="Times New Roman"/>
          <w:sz w:val="24"/>
          <w:szCs w:val="24"/>
        </w:rPr>
        <w:t xml:space="preserve">these </w:t>
      </w:r>
      <w:r w:rsidR="00981691">
        <w:rPr>
          <w:rFonts w:ascii="Times New Roman" w:hAnsi="Times New Roman" w:cs="Times New Roman"/>
          <w:sz w:val="24"/>
          <w:szCs w:val="24"/>
        </w:rPr>
        <w:t xml:space="preserve">patterns </w:t>
      </w:r>
      <w:r w:rsidR="00367F93">
        <w:rPr>
          <w:rFonts w:ascii="Times New Roman" w:hAnsi="Times New Roman" w:cs="Times New Roman"/>
          <w:sz w:val="24"/>
          <w:szCs w:val="24"/>
        </w:rPr>
        <w:t xml:space="preserve">have </w:t>
      </w:r>
      <w:r w:rsidR="00981691">
        <w:rPr>
          <w:rFonts w:ascii="Times New Roman" w:hAnsi="Times New Roman" w:cs="Times New Roman"/>
          <w:sz w:val="24"/>
          <w:szCs w:val="24"/>
        </w:rPr>
        <w:t>highlighted</w:t>
      </w:r>
      <w:r>
        <w:rPr>
          <w:rFonts w:ascii="Times New Roman" w:hAnsi="Times New Roman" w:cs="Times New Roman"/>
          <w:sz w:val="24"/>
          <w:szCs w:val="24"/>
        </w:rPr>
        <w:t xml:space="preserve"> </w:t>
      </w:r>
      <w:r w:rsidR="008D292F">
        <w:rPr>
          <w:rFonts w:ascii="Times New Roman" w:hAnsi="Times New Roman" w:cs="Times New Roman"/>
          <w:sz w:val="24"/>
          <w:szCs w:val="24"/>
        </w:rPr>
        <w:t xml:space="preserve">a split within STEM fields. The majority of bachelors, masters, and doctoral degrees in biological and medical sciences historically have been </w:t>
      </w:r>
      <w:r w:rsidR="00677232">
        <w:rPr>
          <w:rFonts w:ascii="Times New Roman" w:hAnsi="Times New Roman" w:cs="Times New Roman"/>
          <w:sz w:val="24"/>
          <w:szCs w:val="24"/>
        </w:rPr>
        <w:t xml:space="preserve">awarded to </w:t>
      </w:r>
      <w:r w:rsidR="008D292F">
        <w:rPr>
          <w:rFonts w:ascii="Times New Roman" w:hAnsi="Times New Roman" w:cs="Times New Roman"/>
          <w:sz w:val="24"/>
          <w:szCs w:val="24"/>
        </w:rPr>
        <w:t>women (Moore et al., 2013)</w:t>
      </w:r>
      <w:r w:rsidR="00677232">
        <w:rPr>
          <w:rFonts w:ascii="Times New Roman" w:hAnsi="Times New Roman" w:cs="Times New Roman"/>
          <w:sz w:val="24"/>
          <w:szCs w:val="24"/>
        </w:rPr>
        <w:t>, which</w:t>
      </w:r>
      <w:r w:rsidR="008D292F">
        <w:rPr>
          <w:rFonts w:ascii="Times New Roman" w:hAnsi="Times New Roman" w:cs="Times New Roman"/>
          <w:sz w:val="24"/>
          <w:szCs w:val="24"/>
        </w:rPr>
        <w:t xml:space="preserve"> </w:t>
      </w:r>
      <w:r w:rsidR="001773D0">
        <w:rPr>
          <w:rFonts w:ascii="Times New Roman" w:hAnsi="Times New Roman" w:cs="Times New Roman"/>
          <w:sz w:val="24"/>
          <w:szCs w:val="24"/>
        </w:rPr>
        <w:t>continue</w:t>
      </w:r>
      <w:r w:rsidR="00677232">
        <w:rPr>
          <w:rFonts w:ascii="Times New Roman" w:hAnsi="Times New Roman" w:cs="Times New Roman"/>
          <w:sz w:val="24"/>
          <w:szCs w:val="24"/>
        </w:rPr>
        <w:t>s</w:t>
      </w:r>
      <w:r w:rsidR="001773D0">
        <w:rPr>
          <w:rFonts w:ascii="Times New Roman" w:hAnsi="Times New Roman" w:cs="Times New Roman"/>
          <w:sz w:val="24"/>
          <w:szCs w:val="24"/>
        </w:rPr>
        <w:t xml:space="preserve"> </w:t>
      </w:r>
      <w:r w:rsidR="008D292F">
        <w:rPr>
          <w:rFonts w:ascii="Times New Roman" w:hAnsi="Times New Roman" w:cs="Times New Roman"/>
          <w:sz w:val="24"/>
          <w:szCs w:val="24"/>
        </w:rPr>
        <w:t xml:space="preserve">to be validated by more current studies (National Science Board, 2019). When looking at the physical science </w:t>
      </w:r>
      <w:r>
        <w:rPr>
          <w:rFonts w:ascii="Times New Roman" w:hAnsi="Times New Roman" w:cs="Times New Roman"/>
          <w:sz w:val="24"/>
          <w:szCs w:val="24"/>
        </w:rPr>
        <w:t xml:space="preserve">branch </w:t>
      </w:r>
      <w:r w:rsidR="008D292F">
        <w:rPr>
          <w:rFonts w:ascii="Times New Roman" w:hAnsi="Times New Roman" w:cs="Times New Roman"/>
          <w:sz w:val="24"/>
          <w:szCs w:val="24"/>
        </w:rPr>
        <w:t>of STEM fields</w:t>
      </w:r>
      <w:r>
        <w:rPr>
          <w:rFonts w:ascii="Times New Roman" w:hAnsi="Times New Roman" w:cs="Times New Roman"/>
          <w:sz w:val="24"/>
          <w:szCs w:val="24"/>
        </w:rPr>
        <w:t xml:space="preserve"> (pSTEM)</w:t>
      </w:r>
      <w:r w:rsidR="008D292F">
        <w:rPr>
          <w:rFonts w:ascii="Times New Roman" w:hAnsi="Times New Roman" w:cs="Times New Roman"/>
          <w:sz w:val="24"/>
          <w:szCs w:val="24"/>
        </w:rPr>
        <w:t>, the representation of women has fluctuated but has always trailed that of men. In the middle 1980s, women comprised 36% of bachelor’s degrees in computer science</w:t>
      </w:r>
      <w:r w:rsidR="00677232">
        <w:rPr>
          <w:rFonts w:ascii="Times New Roman" w:hAnsi="Times New Roman" w:cs="Times New Roman"/>
          <w:sz w:val="24"/>
          <w:szCs w:val="24"/>
        </w:rPr>
        <w:t>,</w:t>
      </w:r>
      <w:r w:rsidR="008D292F">
        <w:rPr>
          <w:rFonts w:ascii="Times New Roman" w:hAnsi="Times New Roman" w:cs="Times New Roman"/>
          <w:sz w:val="24"/>
          <w:szCs w:val="24"/>
        </w:rPr>
        <w:t xml:space="preserve"> but this value declined to 20% by 2006 (</w:t>
      </w:r>
      <w:r w:rsidR="00DA3F01" w:rsidRPr="00610033">
        <w:rPr>
          <w:rFonts w:ascii="Times New Roman" w:hAnsi="Times New Roman" w:cs="Times New Roman"/>
          <w:sz w:val="24"/>
          <w:szCs w:val="24"/>
        </w:rPr>
        <w:t>American Association of University Women</w:t>
      </w:r>
      <w:r w:rsidR="008D292F">
        <w:rPr>
          <w:rFonts w:ascii="Times New Roman" w:hAnsi="Times New Roman" w:cs="Times New Roman"/>
          <w:sz w:val="24"/>
          <w:szCs w:val="24"/>
        </w:rPr>
        <w:t>, 2010). A composition of</w:t>
      </w:r>
      <w:r>
        <w:rPr>
          <w:rFonts w:ascii="Times New Roman" w:hAnsi="Times New Roman" w:cs="Times New Roman"/>
          <w:sz w:val="24"/>
          <w:szCs w:val="24"/>
        </w:rPr>
        <w:t xml:space="preserve"> p</w:t>
      </w:r>
      <w:r w:rsidR="008D292F">
        <w:rPr>
          <w:rFonts w:ascii="Times New Roman" w:hAnsi="Times New Roman" w:cs="Times New Roman"/>
          <w:sz w:val="24"/>
          <w:szCs w:val="24"/>
        </w:rPr>
        <w:t xml:space="preserve">STEM bachelor’s degrees including physical science, engineering, and mathematics </w:t>
      </w:r>
      <w:r w:rsidR="001773D0">
        <w:rPr>
          <w:rFonts w:ascii="Times New Roman" w:hAnsi="Times New Roman" w:cs="Times New Roman"/>
          <w:sz w:val="24"/>
          <w:szCs w:val="24"/>
        </w:rPr>
        <w:t xml:space="preserve">showed </w:t>
      </w:r>
      <w:r w:rsidR="008D292F">
        <w:rPr>
          <w:rFonts w:ascii="Times New Roman" w:hAnsi="Times New Roman" w:cs="Times New Roman"/>
          <w:sz w:val="24"/>
          <w:szCs w:val="24"/>
        </w:rPr>
        <w:t>the same results. Women were awarded 24% of bachelor’s degrees and 25% of doctoral degrees (Stout et al., 2016). Work by the</w:t>
      </w:r>
      <w:r w:rsidR="008D292F" w:rsidRPr="00AD36D9">
        <w:rPr>
          <w:rFonts w:ascii="Times New Roman" w:hAnsi="Times New Roman" w:cs="Times New Roman"/>
          <w:sz w:val="24"/>
          <w:szCs w:val="24"/>
        </w:rPr>
        <w:t xml:space="preserve"> American Society for Engineering Education </w:t>
      </w:r>
      <w:r w:rsidR="001773D0">
        <w:rPr>
          <w:rFonts w:ascii="Times New Roman" w:hAnsi="Times New Roman" w:cs="Times New Roman"/>
          <w:sz w:val="24"/>
          <w:szCs w:val="24"/>
        </w:rPr>
        <w:t xml:space="preserve">continued </w:t>
      </w:r>
      <w:r w:rsidR="008D292F">
        <w:rPr>
          <w:rFonts w:ascii="Times New Roman" w:hAnsi="Times New Roman" w:cs="Times New Roman"/>
          <w:sz w:val="24"/>
          <w:szCs w:val="24"/>
        </w:rPr>
        <w:t>to demonstrate u</w:t>
      </w:r>
      <w:r w:rsidR="008D292F" w:rsidRPr="00AD36D9">
        <w:rPr>
          <w:rFonts w:ascii="Times New Roman" w:hAnsi="Times New Roman" w:cs="Times New Roman"/>
          <w:sz w:val="24"/>
          <w:szCs w:val="24"/>
        </w:rPr>
        <w:t xml:space="preserve">nderrepresentation of women </w:t>
      </w:r>
      <w:r w:rsidR="008D292F">
        <w:rPr>
          <w:rFonts w:ascii="Times New Roman" w:hAnsi="Times New Roman" w:cs="Times New Roman"/>
          <w:sz w:val="24"/>
          <w:szCs w:val="24"/>
        </w:rPr>
        <w:t xml:space="preserve">in engineering </w:t>
      </w:r>
      <w:r w:rsidR="008D292F" w:rsidRPr="00AD36D9">
        <w:rPr>
          <w:rFonts w:ascii="Times New Roman" w:hAnsi="Times New Roman" w:cs="Times New Roman"/>
          <w:sz w:val="24"/>
          <w:szCs w:val="24"/>
        </w:rPr>
        <w:t>across all levels of higher education in 2018</w:t>
      </w:r>
      <w:r w:rsidR="00847A4F">
        <w:rPr>
          <w:rFonts w:ascii="Times New Roman" w:hAnsi="Times New Roman" w:cs="Times New Roman"/>
          <w:sz w:val="24"/>
          <w:szCs w:val="24"/>
        </w:rPr>
        <w:t>, when w</w:t>
      </w:r>
      <w:r w:rsidR="008D292F" w:rsidRPr="00AD36D9">
        <w:rPr>
          <w:rFonts w:ascii="Times New Roman" w:hAnsi="Times New Roman" w:cs="Times New Roman"/>
          <w:sz w:val="24"/>
          <w:szCs w:val="24"/>
        </w:rPr>
        <w:t>omen earned 21.9% of bachelor’s, 26.7% of master’s, and 23.6% of doctoral degre</w:t>
      </w:r>
      <w:r w:rsidR="008D292F">
        <w:rPr>
          <w:rFonts w:ascii="Times New Roman" w:hAnsi="Times New Roman" w:cs="Times New Roman"/>
          <w:sz w:val="24"/>
          <w:szCs w:val="24"/>
        </w:rPr>
        <w:t xml:space="preserve">es in engineering (Roy, 2018). </w:t>
      </w:r>
    </w:p>
    <w:p w14:paraId="2078CCA9" w14:textId="64C3E1B1" w:rsidR="008D292F" w:rsidRDefault="00847A4F" w:rsidP="00BA4A2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8D292F" w:rsidRPr="00AD36D9">
        <w:rPr>
          <w:rFonts w:ascii="Times New Roman" w:hAnsi="Times New Roman" w:cs="Times New Roman"/>
          <w:sz w:val="24"/>
          <w:szCs w:val="24"/>
        </w:rPr>
        <w:t xml:space="preserve"> National Center for Educational Statistics (NCES) analyzed data on trends for college students changing their majors from their original field of study. </w:t>
      </w:r>
      <w:r>
        <w:rPr>
          <w:rFonts w:ascii="Times New Roman" w:hAnsi="Times New Roman" w:cs="Times New Roman"/>
          <w:sz w:val="24"/>
          <w:szCs w:val="24"/>
        </w:rPr>
        <w:t>The NCES</w:t>
      </w:r>
      <w:r w:rsidRPr="00AD36D9">
        <w:rPr>
          <w:rFonts w:ascii="Times New Roman" w:hAnsi="Times New Roman" w:cs="Times New Roman"/>
          <w:sz w:val="24"/>
          <w:szCs w:val="24"/>
        </w:rPr>
        <w:t xml:space="preserve"> </w:t>
      </w:r>
      <w:r>
        <w:rPr>
          <w:rFonts w:ascii="Times New Roman" w:hAnsi="Times New Roman" w:cs="Times New Roman"/>
          <w:sz w:val="24"/>
          <w:szCs w:val="24"/>
        </w:rPr>
        <w:t xml:space="preserve">(2017) </w:t>
      </w:r>
      <w:r w:rsidR="008D292F" w:rsidRPr="00AD36D9">
        <w:rPr>
          <w:rFonts w:ascii="Times New Roman" w:hAnsi="Times New Roman" w:cs="Times New Roman"/>
          <w:sz w:val="24"/>
          <w:szCs w:val="24"/>
        </w:rPr>
        <w:t xml:space="preserve"> indicated that STEM fields </w:t>
      </w:r>
      <w:r w:rsidR="001773D0">
        <w:rPr>
          <w:rFonts w:ascii="Times New Roman" w:hAnsi="Times New Roman" w:cs="Times New Roman"/>
          <w:sz w:val="24"/>
          <w:szCs w:val="24"/>
        </w:rPr>
        <w:t>had</w:t>
      </w:r>
      <w:r w:rsidR="001773D0" w:rsidRPr="00AD36D9">
        <w:rPr>
          <w:rFonts w:ascii="Times New Roman" w:hAnsi="Times New Roman" w:cs="Times New Roman"/>
          <w:sz w:val="24"/>
          <w:szCs w:val="24"/>
        </w:rPr>
        <w:t xml:space="preserve"> </w:t>
      </w:r>
      <w:r w:rsidR="008D292F" w:rsidRPr="00AD36D9">
        <w:rPr>
          <w:rFonts w:ascii="Times New Roman" w:hAnsi="Times New Roman" w:cs="Times New Roman"/>
          <w:sz w:val="24"/>
          <w:szCs w:val="24"/>
        </w:rPr>
        <w:t xml:space="preserve">higher incidences of changes (35%) than non-STEM fields (29%). Additionally, </w:t>
      </w:r>
      <w:r>
        <w:rPr>
          <w:rFonts w:ascii="Times New Roman" w:hAnsi="Times New Roman" w:cs="Times New Roman"/>
          <w:sz w:val="24"/>
          <w:szCs w:val="24"/>
        </w:rPr>
        <w:t>the NCES</w:t>
      </w:r>
      <w:r w:rsidRPr="00AD36D9">
        <w:rPr>
          <w:rFonts w:ascii="Times New Roman" w:hAnsi="Times New Roman" w:cs="Times New Roman"/>
          <w:sz w:val="24"/>
          <w:szCs w:val="24"/>
        </w:rPr>
        <w:t xml:space="preserve"> </w:t>
      </w:r>
      <w:r w:rsidR="008D292F" w:rsidRPr="00AD36D9">
        <w:rPr>
          <w:rFonts w:ascii="Times New Roman" w:hAnsi="Times New Roman" w:cs="Times New Roman"/>
          <w:sz w:val="24"/>
          <w:szCs w:val="24"/>
        </w:rPr>
        <w:t>findings showed that university students in STEM</w:t>
      </w:r>
      <w:r w:rsidR="00421DCE">
        <w:rPr>
          <w:rFonts w:ascii="Times New Roman" w:hAnsi="Times New Roman" w:cs="Times New Roman"/>
          <w:sz w:val="24"/>
          <w:szCs w:val="24"/>
        </w:rPr>
        <w:t>-</w:t>
      </w:r>
      <w:r w:rsidR="008D292F" w:rsidRPr="00AD36D9">
        <w:rPr>
          <w:rFonts w:ascii="Times New Roman" w:hAnsi="Times New Roman" w:cs="Times New Roman"/>
          <w:sz w:val="24"/>
          <w:szCs w:val="24"/>
        </w:rPr>
        <w:t xml:space="preserve">related majors </w:t>
      </w:r>
      <w:r w:rsidR="001773D0">
        <w:rPr>
          <w:rFonts w:ascii="Times New Roman" w:hAnsi="Times New Roman" w:cs="Times New Roman"/>
          <w:sz w:val="24"/>
          <w:szCs w:val="24"/>
        </w:rPr>
        <w:t>were</w:t>
      </w:r>
      <w:r w:rsidR="001773D0" w:rsidRPr="00AD36D9">
        <w:rPr>
          <w:rFonts w:ascii="Times New Roman" w:hAnsi="Times New Roman" w:cs="Times New Roman"/>
          <w:sz w:val="24"/>
          <w:szCs w:val="24"/>
        </w:rPr>
        <w:t xml:space="preserve"> </w:t>
      </w:r>
      <w:r w:rsidR="008D292F" w:rsidRPr="00AD36D9">
        <w:rPr>
          <w:rFonts w:ascii="Times New Roman" w:hAnsi="Times New Roman" w:cs="Times New Roman"/>
          <w:sz w:val="24"/>
          <w:szCs w:val="24"/>
        </w:rPr>
        <w:t xml:space="preserve">more susceptible to changing away from a STEM field. </w:t>
      </w:r>
      <w:r w:rsidR="008D292F">
        <w:rPr>
          <w:rFonts w:ascii="Times New Roman" w:hAnsi="Times New Roman" w:cs="Times New Roman"/>
          <w:sz w:val="24"/>
          <w:szCs w:val="24"/>
        </w:rPr>
        <w:t xml:space="preserve">When these patterns </w:t>
      </w:r>
      <w:r w:rsidR="001773D0">
        <w:rPr>
          <w:rFonts w:ascii="Times New Roman" w:hAnsi="Times New Roman" w:cs="Times New Roman"/>
          <w:sz w:val="24"/>
          <w:szCs w:val="24"/>
        </w:rPr>
        <w:t xml:space="preserve">were </w:t>
      </w:r>
      <w:r w:rsidR="008D292F">
        <w:rPr>
          <w:rFonts w:ascii="Times New Roman" w:hAnsi="Times New Roman" w:cs="Times New Roman"/>
          <w:sz w:val="24"/>
          <w:szCs w:val="24"/>
        </w:rPr>
        <w:t xml:space="preserve">disaggregated by gender, the impact on underrepresentation of women in STEM careers </w:t>
      </w:r>
      <w:r w:rsidR="00141014">
        <w:rPr>
          <w:rFonts w:ascii="Times New Roman" w:hAnsi="Times New Roman" w:cs="Times New Roman"/>
          <w:sz w:val="24"/>
          <w:szCs w:val="24"/>
        </w:rPr>
        <w:t xml:space="preserve">was </w:t>
      </w:r>
      <w:r w:rsidR="008D292F">
        <w:rPr>
          <w:rFonts w:ascii="Times New Roman" w:hAnsi="Times New Roman" w:cs="Times New Roman"/>
          <w:sz w:val="24"/>
          <w:szCs w:val="24"/>
        </w:rPr>
        <w:t>more evident. Ferrare and Lee (2014) indicate</w:t>
      </w:r>
      <w:r w:rsidR="00141014">
        <w:rPr>
          <w:rFonts w:ascii="Times New Roman" w:hAnsi="Times New Roman" w:cs="Times New Roman"/>
          <w:sz w:val="24"/>
          <w:szCs w:val="24"/>
        </w:rPr>
        <w:t>d</w:t>
      </w:r>
      <w:r w:rsidR="008D292F">
        <w:rPr>
          <w:rFonts w:ascii="Times New Roman" w:hAnsi="Times New Roman" w:cs="Times New Roman"/>
          <w:sz w:val="24"/>
          <w:szCs w:val="24"/>
        </w:rPr>
        <w:t xml:space="preserve"> that women </w:t>
      </w:r>
      <w:r w:rsidR="00141014">
        <w:rPr>
          <w:rFonts w:ascii="Times New Roman" w:hAnsi="Times New Roman" w:cs="Times New Roman"/>
          <w:sz w:val="24"/>
          <w:szCs w:val="24"/>
        </w:rPr>
        <w:t xml:space="preserve">were </w:t>
      </w:r>
      <w:r w:rsidR="008D292F">
        <w:rPr>
          <w:rFonts w:ascii="Times New Roman" w:hAnsi="Times New Roman" w:cs="Times New Roman"/>
          <w:sz w:val="24"/>
          <w:szCs w:val="24"/>
        </w:rPr>
        <w:t xml:space="preserve">1.5 times more likely than men to switch from a STEM major to a non-STEM major in college. </w:t>
      </w:r>
      <w:r w:rsidR="00421DCE">
        <w:rPr>
          <w:rFonts w:ascii="Times New Roman" w:hAnsi="Times New Roman" w:cs="Times New Roman"/>
          <w:sz w:val="24"/>
          <w:szCs w:val="24"/>
        </w:rPr>
        <w:t xml:space="preserve">Fewer </w:t>
      </w:r>
      <w:r w:rsidR="008D292F">
        <w:rPr>
          <w:rFonts w:ascii="Times New Roman" w:hAnsi="Times New Roman" w:cs="Times New Roman"/>
          <w:sz w:val="24"/>
          <w:szCs w:val="24"/>
        </w:rPr>
        <w:t>women finishing with STEM degrees</w:t>
      </w:r>
      <w:r w:rsidR="00327ED8">
        <w:rPr>
          <w:rFonts w:ascii="Times New Roman" w:hAnsi="Times New Roman" w:cs="Times New Roman"/>
          <w:sz w:val="24"/>
          <w:szCs w:val="24"/>
        </w:rPr>
        <w:t xml:space="preserve"> </w:t>
      </w:r>
      <w:r w:rsidR="008D292F">
        <w:rPr>
          <w:rFonts w:ascii="Times New Roman" w:hAnsi="Times New Roman" w:cs="Times New Roman"/>
          <w:sz w:val="24"/>
          <w:szCs w:val="24"/>
        </w:rPr>
        <w:t xml:space="preserve">negatively </w:t>
      </w:r>
      <w:r w:rsidR="00141014">
        <w:rPr>
          <w:rFonts w:ascii="Times New Roman" w:hAnsi="Times New Roman" w:cs="Times New Roman"/>
          <w:sz w:val="24"/>
          <w:szCs w:val="24"/>
        </w:rPr>
        <w:t>impact</w:t>
      </w:r>
      <w:r w:rsidR="00421DCE">
        <w:rPr>
          <w:rFonts w:ascii="Times New Roman" w:hAnsi="Times New Roman" w:cs="Times New Roman"/>
          <w:sz w:val="24"/>
          <w:szCs w:val="24"/>
        </w:rPr>
        <w:t>s</w:t>
      </w:r>
      <w:r w:rsidR="00141014">
        <w:rPr>
          <w:rFonts w:ascii="Times New Roman" w:hAnsi="Times New Roman" w:cs="Times New Roman"/>
          <w:sz w:val="24"/>
          <w:szCs w:val="24"/>
        </w:rPr>
        <w:t xml:space="preserve"> </w:t>
      </w:r>
      <w:r w:rsidR="008D292F">
        <w:rPr>
          <w:rFonts w:ascii="Times New Roman" w:hAnsi="Times New Roman" w:cs="Times New Roman"/>
          <w:sz w:val="24"/>
          <w:szCs w:val="24"/>
        </w:rPr>
        <w:t xml:space="preserve">the number of women in the STEM workforce (National Science Board, 2020). </w:t>
      </w:r>
    </w:p>
    <w:p w14:paraId="7FBB06A5" w14:textId="658D2991" w:rsidR="008D292F" w:rsidRPr="000666C3" w:rsidRDefault="008D292F" w:rsidP="00BA4A2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Enrollment factors affecting STEM career trajectories of students are evident as early as high school. The </w:t>
      </w:r>
      <w:r w:rsidR="00344E44">
        <w:rPr>
          <w:rFonts w:ascii="Times New Roman" w:hAnsi="Times New Roman" w:cs="Times New Roman"/>
          <w:sz w:val="24"/>
          <w:szCs w:val="24"/>
        </w:rPr>
        <w:t>NCES</w:t>
      </w:r>
      <w:r w:rsidR="00847A4F">
        <w:rPr>
          <w:rFonts w:ascii="Times New Roman" w:hAnsi="Times New Roman" w:cs="Times New Roman"/>
          <w:sz w:val="24"/>
          <w:szCs w:val="24"/>
        </w:rPr>
        <w:t xml:space="preserve"> (2022)</w:t>
      </w:r>
      <w:r>
        <w:rPr>
          <w:rFonts w:ascii="Times New Roman" w:hAnsi="Times New Roman" w:cs="Times New Roman"/>
          <w:sz w:val="24"/>
          <w:szCs w:val="24"/>
        </w:rPr>
        <w:t xml:space="preserve"> </w:t>
      </w:r>
      <w:r w:rsidR="00847A4F">
        <w:rPr>
          <w:rFonts w:ascii="Times New Roman" w:hAnsi="Times New Roman" w:cs="Times New Roman"/>
          <w:sz w:val="24"/>
          <w:szCs w:val="24"/>
        </w:rPr>
        <w:t>examined</w:t>
      </w:r>
      <w:r>
        <w:rPr>
          <w:rFonts w:ascii="Times New Roman" w:hAnsi="Times New Roman" w:cs="Times New Roman"/>
          <w:sz w:val="24"/>
          <w:szCs w:val="24"/>
        </w:rPr>
        <w:t xml:space="preserve"> the percentage of students who graduated high school having taken core science classes</w:t>
      </w:r>
      <w:r w:rsidR="00847A4F">
        <w:rPr>
          <w:rFonts w:ascii="Times New Roman" w:hAnsi="Times New Roman" w:cs="Times New Roman"/>
          <w:sz w:val="24"/>
          <w:szCs w:val="24"/>
        </w:rPr>
        <w:t xml:space="preserve"> and found that</w:t>
      </w:r>
      <w:r w:rsidR="009A4217">
        <w:rPr>
          <w:rFonts w:ascii="Times New Roman" w:hAnsi="Times New Roman" w:cs="Times New Roman"/>
          <w:sz w:val="24"/>
          <w:szCs w:val="24"/>
        </w:rPr>
        <w:t xml:space="preserve"> </w:t>
      </w:r>
      <w:r>
        <w:rPr>
          <w:rFonts w:ascii="Times New Roman" w:hAnsi="Times New Roman" w:cs="Times New Roman"/>
          <w:sz w:val="24"/>
          <w:szCs w:val="24"/>
        </w:rPr>
        <w:t>97% took a biology class, 76% took a chemistry class, and 40% took a physics class. Th</w:t>
      </w:r>
      <w:r w:rsidR="009A4217">
        <w:rPr>
          <w:rFonts w:ascii="Times New Roman" w:hAnsi="Times New Roman" w:cs="Times New Roman"/>
          <w:sz w:val="24"/>
          <w:szCs w:val="24"/>
        </w:rPr>
        <w:t>e</w:t>
      </w:r>
      <w:r>
        <w:rPr>
          <w:rFonts w:ascii="Times New Roman" w:hAnsi="Times New Roman" w:cs="Times New Roman"/>
          <w:sz w:val="24"/>
          <w:szCs w:val="24"/>
        </w:rPr>
        <w:t xml:space="preserve"> data </w:t>
      </w:r>
      <w:r w:rsidR="00141014">
        <w:rPr>
          <w:rFonts w:ascii="Times New Roman" w:hAnsi="Times New Roman" w:cs="Times New Roman"/>
          <w:sz w:val="24"/>
          <w:szCs w:val="24"/>
        </w:rPr>
        <w:t xml:space="preserve">showed </w:t>
      </w:r>
      <w:r>
        <w:rPr>
          <w:rFonts w:ascii="Times New Roman" w:hAnsi="Times New Roman" w:cs="Times New Roman"/>
          <w:sz w:val="24"/>
          <w:szCs w:val="24"/>
        </w:rPr>
        <w:t xml:space="preserve">that the number of students beginning their career STEM trajectories specifically aimed at science and engineering fields is lower than other STEM career pathways. </w:t>
      </w:r>
      <w:r w:rsidR="00696E90">
        <w:rPr>
          <w:rFonts w:ascii="Times New Roman" w:hAnsi="Times New Roman" w:cs="Times New Roman"/>
          <w:sz w:val="24"/>
          <w:szCs w:val="24"/>
        </w:rPr>
        <w:t>However, a</w:t>
      </w:r>
      <w:r>
        <w:rPr>
          <w:rFonts w:ascii="Times New Roman" w:hAnsi="Times New Roman" w:cs="Times New Roman"/>
          <w:sz w:val="24"/>
          <w:szCs w:val="24"/>
        </w:rPr>
        <w:t xml:space="preserve">n analysis of advanced physics courses in the high school </w:t>
      </w:r>
      <w:r w:rsidR="00141014">
        <w:rPr>
          <w:rFonts w:ascii="Times New Roman" w:hAnsi="Times New Roman" w:cs="Times New Roman"/>
          <w:sz w:val="24"/>
          <w:szCs w:val="24"/>
        </w:rPr>
        <w:t xml:space="preserve">revealed </w:t>
      </w:r>
      <w:r>
        <w:rPr>
          <w:rFonts w:ascii="Times New Roman" w:hAnsi="Times New Roman" w:cs="Times New Roman"/>
          <w:sz w:val="24"/>
          <w:szCs w:val="24"/>
        </w:rPr>
        <w:t xml:space="preserve">the underrepresentation of women on science and engineering pathways. </w:t>
      </w:r>
      <w:r w:rsidRPr="00AD36D9">
        <w:rPr>
          <w:rFonts w:ascii="Times New Roman" w:hAnsi="Times New Roman" w:cs="Times New Roman"/>
          <w:sz w:val="24"/>
          <w:szCs w:val="24"/>
        </w:rPr>
        <w:t xml:space="preserve">Women are historically underrepresented in college level Advanced Placement (AP) courses taken in high school. </w:t>
      </w:r>
      <w:r w:rsidR="00013A34">
        <w:rPr>
          <w:rFonts w:ascii="Times New Roman" w:hAnsi="Times New Roman" w:cs="Times New Roman"/>
          <w:sz w:val="24"/>
          <w:szCs w:val="24"/>
        </w:rPr>
        <w:t>The</w:t>
      </w:r>
      <w:r w:rsidRPr="00AD36D9">
        <w:rPr>
          <w:rFonts w:ascii="Times New Roman" w:hAnsi="Times New Roman" w:cs="Times New Roman"/>
          <w:sz w:val="24"/>
          <w:szCs w:val="24"/>
        </w:rPr>
        <w:t xml:space="preserve"> College Board (2017) </w:t>
      </w:r>
      <w:r w:rsidR="00141014" w:rsidRPr="00AD36D9">
        <w:rPr>
          <w:rFonts w:ascii="Times New Roman" w:hAnsi="Times New Roman" w:cs="Times New Roman"/>
          <w:sz w:val="24"/>
          <w:szCs w:val="24"/>
        </w:rPr>
        <w:t>provide</w:t>
      </w:r>
      <w:r w:rsidR="00141014">
        <w:rPr>
          <w:rFonts w:ascii="Times New Roman" w:hAnsi="Times New Roman" w:cs="Times New Roman"/>
          <w:sz w:val="24"/>
          <w:szCs w:val="24"/>
        </w:rPr>
        <w:t>d</w:t>
      </w:r>
      <w:r w:rsidR="00141014"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statistics on gender demographics across all </w:t>
      </w:r>
      <w:r w:rsidR="00696E90">
        <w:rPr>
          <w:rFonts w:ascii="Times New Roman" w:hAnsi="Times New Roman" w:cs="Times New Roman"/>
          <w:sz w:val="24"/>
          <w:szCs w:val="24"/>
        </w:rPr>
        <w:t>AP</w:t>
      </w:r>
      <w:r w:rsidRPr="00AD36D9">
        <w:rPr>
          <w:rFonts w:ascii="Times New Roman" w:hAnsi="Times New Roman" w:cs="Times New Roman"/>
          <w:sz w:val="24"/>
          <w:szCs w:val="24"/>
        </w:rPr>
        <w:t xml:space="preserve"> courses in 2017. AP Physics C is the equivalent of freshmen engineering college physics where the curriculum includes calculus. This AP course is separated into one semester of mechanics and one semester of electricity with magnetism. In 2017, less than 30</w:t>
      </w:r>
      <w:r w:rsidR="00C44F88">
        <w:rPr>
          <w:rFonts w:ascii="Times New Roman" w:hAnsi="Times New Roman" w:cs="Times New Roman"/>
          <w:sz w:val="24"/>
          <w:szCs w:val="24"/>
        </w:rPr>
        <w:t>%</w:t>
      </w:r>
      <w:r w:rsidRPr="00AD36D9">
        <w:rPr>
          <w:rFonts w:ascii="Times New Roman" w:hAnsi="Times New Roman" w:cs="Times New Roman"/>
          <w:sz w:val="24"/>
          <w:szCs w:val="24"/>
        </w:rPr>
        <w:t xml:space="preserve"> of AP Physics C students were women (College Board, 2017). </w:t>
      </w:r>
      <w:r w:rsidR="00DA34F1">
        <w:rPr>
          <w:rFonts w:ascii="Times New Roman" w:hAnsi="Times New Roman" w:cs="Times New Roman"/>
          <w:sz w:val="24"/>
          <w:szCs w:val="24"/>
        </w:rPr>
        <w:t>These</w:t>
      </w:r>
      <w:r w:rsidR="00DA34F1" w:rsidRPr="00AD36D9">
        <w:rPr>
          <w:rFonts w:ascii="Times New Roman" w:hAnsi="Times New Roman" w:cs="Times New Roman"/>
          <w:sz w:val="24"/>
          <w:szCs w:val="24"/>
        </w:rPr>
        <w:t xml:space="preserve"> </w:t>
      </w:r>
      <w:r w:rsidRPr="00AD36D9">
        <w:rPr>
          <w:rFonts w:ascii="Times New Roman" w:hAnsi="Times New Roman" w:cs="Times New Roman"/>
          <w:sz w:val="24"/>
          <w:szCs w:val="24"/>
        </w:rPr>
        <w:t>two semester AP course</w:t>
      </w:r>
      <w:r w:rsidR="00DA34F1">
        <w:rPr>
          <w:rFonts w:ascii="Times New Roman" w:hAnsi="Times New Roman" w:cs="Times New Roman"/>
          <w:sz w:val="24"/>
          <w:szCs w:val="24"/>
        </w:rPr>
        <w:t>s</w:t>
      </w:r>
      <w:r w:rsidRPr="00AD36D9">
        <w:rPr>
          <w:rFonts w:ascii="Times New Roman" w:hAnsi="Times New Roman" w:cs="Times New Roman"/>
          <w:sz w:val="24"/>
          <w:szCs w:val="24"/>
        </w:rPr>
        <w:t xml:space="preserve"> and their subsequent exams are typically taken as a </w:t>
      </w:r>
      <w:r w:rsidR="00474CD5">
        <w:rPr>
          <w:rFonts w:ascii="Times New Roman" w:hAnsi="Times New Roman" w:cs="Times New Roman"/>
          <w:sz w:val="24"/>
          <w:szCs w:val="24"/>
        </w:rPr>
        <w:t>second</w:t>
      </w:r>
      <w:r w:rsidR="00474CD5" w:rsidRPr="00AD36D9">
        <w:rPr>
          <w:rFonts w:ascii="Times New Roman" w:hAnsi="Times New Roman" w:cs="Times New Roman"/>
          <w:sz w:val="24"/>
          <w:szCs w:val="24"/>
        </w:rPr>
        <w:t xml:space="preserve"> </w:t>
      </w:r>
      <w:r w:rsidRPr="00AD36D9">
        <w:rPr>
          <w:rFonts w:ascii="Times New Roman" w:hAnsi="Times New Roman" w:cs="Times New Roman"/>
          <w:sz w:val="24"/>
          <w:szCs w:val="24"/>
        </w:rPr>
        <w:t>year of high school physics. A possible</w:t>
      </w:r>
      <w:r w:rsidR="00327ED8">
        <w:rPr>
          <w:rFonts w:ascii="Times New Roman" w:hAnsi="Times New Roman" w:cs="Times New Roman"/>
          <w:sz w:val="24"/>
          <w:szCs w:val="24"/>
        </w:rPr>
        <w:t>,</w:t>
      </w:r>
      <w:r w:rsidRPr="00AD36D9">
        <w:rPr>
          <w:rFonts w:ascii="Times New Roman" w:hAnsi="Times New Roman" w:cs="Times New Roman"/>
          <w:sz w:val="24"/>
          <w:szCs w:val="24"/>
        </w:rPr>
        <w:t xml:space="preserve"> and often chosen</w:t>
      </w:r>
      <w:r w:rsidR="00327ED8">
        <w:rPr>
          <w:rFonts w:ascii="Times New Roman" w:hAnsi="Times New Roman" w:cs="Times New Roman"/>
          <w:sz w:val="24"/>
          <w:szCs w:val="24"/>
        </w:rPr>
        <w:t>,</w:t>
      </w:r>
      <w:r w:rsidRPr="00AD36D9">
        <w:rPr>
          <w:rFonts w:ascii="Times New Roman" w:hAnsi="Times New Roman" w:cs="Times New Roman"/>
          <w:sz w:val="24"/>
          <w:szCs w:val="24"/>
        </w:rPr>
        <w:t xml:space="preserve"> </w:t>
      </w:r>
      <w:r w:rsidR="008159B8">
        <w:rPr>
          <w:rFonts w:ascii="Times New Roman" w:hAnsi="Times New Roman" w:cs="Times New Roman"/>
          <w:sz w:val="24"/>
          <w:szCs w:val="24"/>
        </w:rPr>
        <w:t>first-year physics</w:t>
      </w:r>
      <w:r w:rsidRPr="00AD36D9">
        <w:rPr>
          <w:rFonts w:ascii="Times New Roman" w:hAnsi="Times New Roman" w:cs="Times New Roman"/>
          <w:sz w:val="24"/>
          <w:szCs w:val="24"/>
        </w:rPr>
        <w:t xml:space="preserve"> course would be AP Physics 1. In 2017</w:t>
      </w:r>
      <w:r w:rsidR="00912DD0">
        <w:rPr>
          <w:rFonts w:ascii="Times New Roman" w:hAnsi="Times New Roman" w:cs="Times New Roman"/>
          <w:sz w:val="24"/>
          <w:szCs w:val="24"/>
        </w:rPr>
        <w:t>,</w:t>
      </w:r>
      <w:r w:rsidRPr="00AD36D9">
        <w:rPr>
          <w:rFonts w:ascii="Times New Roman" w:hAnsi="Times New Roman" w:cs="Times New Roman"/>
          <w:sz w:val="24"/>
          <w:szCs w:val="24"/>
        </w:rPr>
        <w:t xml:space="preserve"> women made up 40% of test takers</w:t>
      </w:r>
      <w:r w:rsidR="00912DD0">
        <w:rPr>
          <w:rFonts w:ascii="Times New Roman" w:hAnsi="Times New Roman" w:cs="Times New Roman"/>
          <w:sz w:val="24"/>
          <w:szCs w:val="24"/>
        </w:rPr>
        <w:t xml:space="preserve">, which </w:t>
      </w:r>
      <w:r w:rsidR="00141014" w:rsidRPr="00AD36D9">
        <w:rPr>
          <w:rFonts w:ascii="Times New Roman" w:hAnsi="Times New Roman" w:cs="Times New Roman"/>
          <w:sz w:val="24"/>
          <w:szCs w:val="24"/>
        </w:rPr>
        <w:t>indicate</w:t>
      </w:r>
      <w:r w:rsidR="00912DD0">
        <w:rPr>
          <w:rFonts w:ascii="Times New Roman" w:hAnsi="Times New Roman" w:cs="Times New Roman"/>
          <w:sz w:val="24"/>
          <w:szCs w:val="24"/>
        </w:rPr>
        <w:t>s</w:t>
      </w:r>
      <w:r w:rsidR="00141014" w:rsidRPr="00AD36D9">
        <w:rPr>
          <w:rFonts w:ascii="Times New Roman" w:hAnsi="Times New Roman" w:cs="Times New Roman"/>
          <w:sz w:val="24"/>
          <w:szCs w:val="24"/>
        </w:rPr>
        <w:t xml:space="preserve"> </w:t>
      </w:r>
      <w:r w:rsidRPr="00AD36D9">
        <w:rPr>
          <w:rFonts w:ascii="Times New Roman" w:hAnsi="Times New Roman" w:cs="Times New Roman"/>
          <w:sz w:val="24"/>
          <w:szCs w:val="24"/>
        </w:rPr>
        <w:t>the decline of STEM career trajectories</w:t>
      </w:r>
      <w:r w:rsidR="00327ED8">
        <w:rPr>
          <w:rFonts w:ascii="Times New Roman" w:hAnsi="Times New Roman" w:cs="Times New Roman"/>
          <w:sz w:val="24"/>
          <w:szCs w:val="24"/>
        </w:rPr>
        <w:t xml:space="preserve"> due to </w:t>
      </w:r>
      <w:r w:rsidR="00912DD0">
        <w:rPr>
          <w:rFonts w:ascii="Times New Roman" w:hAnsi="Times New Roman" w:cs="Times New Roman"/>
          <w:sz w:val="24"/>
          <w:szCs w:val="24"/>
        </w:rPr>
        <w:t xml:space="preserve">lower </w:t>
      </w:r>
      <w:r w:rsidR="00327ED8">
        <w:rPr>
          <w:rFonts w:ascii="Times New Roman" w:hAnsi="Times New Roman" w:cs="Times New Roman"/>
          <w:sz w:val="24"/>
          <w:szCs w:val="24"/>
        </w:rPr>
        <w:t>course enrollment</w:t>
      </w:r>
      <w:r w:rsidRPr="00AD36D9">
        <w:rPr>
          <w:rFonts w:ascii="Times New Roman" w:hAnsi="Times New Roman" w:cs="Times New Roman"/>
          <w:sz w:val="24"/>
          <w:szCs w:val="24"/>
        </w:rPr>
        <w:t xml:space="preserve"> for women </w:t>
      </w:r>
      <w:r w:rsidR="00141014">
        <w:rPr>
          <w:rFonts w:ascii="Times New Roman" w:hAnsi="Times New Roman" w:cs="Times New Roman"/>
          <w:sz w:val="24"/>
          <w:szCs w:val="24"/>
        </w:rPr>
        <w:t>began</w:t>
      </w:r>
      <w:r w:rsidR="00141014" w:rsidRPr="00AD36D9">
        <w:rPr>
          <w:rFonts w:ascii="Times New Roman" w:hAnsi="Times New Roman" w:cs="Times New Roman"/>
          <w:sz w:val="24"/>
          <w:szCs w:val="24"/>
        </w:rPr>
        <w:t xml:space="preserve"> </w:t>
      </w:r>
      <w:r w:rsidRPr="00AD36D9">
        <w:rPr>
          <w:rFonts w:ascii="Times New Roman" w:hAnsi="Times New Roman" w:cs="Times New Roman"/>
          <w:sz w:val="24"/>
          <w:szCs w:val="24"/>
        </w:rPr>
        <w:t>before they enter college. The decline becomes evident in the high school when students move from their first to second year of high school physics.</w:t>
      </w:r>
    </w:p>
    <w:p w14:paraId="44FADB68" w14:textId="5285A752" w:rsidR="008D292F" w:rsidRDefault="008D292F" w:rsidP="00BA4A2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Pr="00AD36D9">
        <w:rPr>
          <w:rFonts w:ascii="Times New Roman" w:hAnsi="Times New Roman" w:cs="Times New Roman"/>
          <w:sz w:val="24"/>
          <w:szCs w:val="24"/>
        </w:rPr>
        <w:t xml:space="preserve"> underrepresentation of women in STEM fields as indicated by lessor participation in high school physics is not limited to just the U.</w:t>
      </w:r>
      <w:r w:rsidR="00912DD0">
        <w:rPr>
          <w:rFonts w:ascii="Times New Roman" w:hAnsi="Times New Roman" w:cs="Times New Roman"/>
          <w:sz w:val="24"/>
          <w:szCs w:val="24"/>
        </w:rPr>
        <w:t>S.</w:t>
      </w:r>
      <w:r w:rsidRPr="00AD36D9">
        <w:rPr>
          <w:rFonts w:ascii="Times New Roman" w:hAnsi="Times New Roman" w:cs="Times New Roman"/>
          <w:sz w:val="24"/>
          <w:szCs w:val="24"/>
        </w:rPr>
        <w:t xml:space="preserve"> Kennedy et al. (2014) </w:t>
      </w:r>
      <w:r w:rsidR="00013A34">
        <w:rPr>
          <w:rFonts w:ascii="Times New Roman" w:hAnsi="Times New Roman" w:cs="Times New Roman"/>
          <w:sz w:val="24"/>
          <w:szCs w:val="24"/>
        </w:rPr>
        <w:t xml:space="preserve">collected longitudinal data </w:t>
      </w:r>
      <w:r w:rsidRPr="00AD36D9">
        <w:rPr>
          <w:rFonts w:ascii="Times New Roman" w:hAnsi="Times New Roman" w:cs="Times New Roman"/>
          <w:sz w:val="24"/>
          <w:szCs w:val="24"/>
        </w:rPr>
        <w:t xml:space="preserve">in Australian states and territories between 1992 and 2012. Included in each year’s data set were nearly 200,000 enrollments. </w:t>
      </w:r>
      <w:r w:rsidR="00912DD0">
        <w:rPr>
          <w:rFonts w:ascii="Times New Roman" w:hAnsi="Times New Roman" w:cs="Times New Roman"/>
          <w:sz w:val="24"/>
          <w:szCs w:val="24"/>
        </w:rPr>
        <w:t>The f</w:t>
      </w:r>
      <w:r w:rsidRPr="00AD36D9">
        <w:rPr>
          <w:rFonts w:ascii="Times New Roman" w:hAnsi="Times New Roman" w:cs="Times New Roman"/>
          <w:sz w:val="24"/>
          <w:szCs w:val="24"/>
        </w:rPr>
        <w:t xml:space="preserve">indings showed that enrollments in physics </w:t>
      </w:r>
      <w:r>
        <w:rPr>
          <w:rFonts w:ascii="Times New Roman" w:hAnsi="Times New Roman" w:cs="Times New Roman"/>
          <w:sz w:val="24"/>
          <w:szCs w:val="24"/>
        </w:rPr>
        <w:t>have</w:t>
      </w:r>
      <w:r w:rsidRPr="00AD36D9">
        <w:rPr>
          <w:rFonts w:ascii="Times New Roman" w:hAnsi="Times New Roman" w:cs="Times New Roman"/>
          <w:sz w:val="24"/>
          <w:szCs w:val="24"/>
        </w:rPr>
        <w:t xml:space="preserve"> declined over the study period. </w:t>
      </w:r>
      <w:r w:rsidR="00013A34">
        <w:rPr>
          <w:rFonts w:ascii="Times New Roman" w:hAnsi="Times New Roman" w:cs="Times New Roman"/>
          <w:sz w:val="24"/>
          <w:szCs w:val="24"/>
        </w:rPr>
        <w:t>The r</w:t>
      </w:r>
      <w:r w:rsidRPr="00AD36D9">
        <w:rPr>
          <w:rFonts w:ascii="Times New Roman" w:hAnsi="Times New Roman" w:cs="Times New Roman"/>
          <w:sz w:val="24"/>
          <w:szCs w:val="24"/>
        </w:rPr>
        <w:t xml:space="preserve">esearchers also studied the ratios of women to men of those enrolled </w:t>
      </w:r>
      <w:r w:rsidRPr="00AD36D9">
        <w:rPr>
          <w:rFonts w:ascii="Times New Roman" w:hAnsi="Times New Roman" w:cs="Times New Roman"/>
          <w:sz w:val="24"/>
          <w:szCs w:val="24"/>
        </w:rPr>
        <w:lastRenderedPageBreak/>
        <w:t>in each of the science courses. Physics had the lowest women to men ratio and declined from 0.3 to 0.25 over the data period while the ratio in biology is steady between 0.6 and 0.65 over the data set period (Kennedy et al., 2014).</w:t>
      </w:r>
      <w:r>
        <w:rPr>
          <w:rFonts w:ascii="Times New Roman" w:hAnsi="Times New Roman" w:cs="Times New Roman"/>
          <w:sz w:val="24"/>
          <w:szCs w:val="24"/>
        </w:rPr>
        <w:t xml:space="preserve"> </w:t>
      </w:r>
    </w:p>
    <w:p w14:paraId="66BFFB2C" w14:textId="77777777" w:rsidR="008D292F" w:rsidRPr="00A74D1E" w:rsidRDefault="008D292F" w:rsidP="00BA4A2D">
      <w:pPr>
        <w:widowControl w:val="0"/>
        <w:spacing w:after="0" w:line="480" w:lineRule="auto"/>
        <w:rPr>
          <w:rFonts w:ascii="Times New Roman" w:hAnsi="Times New Roman" w:cs="Times New Roman"/>
          <w:b/>
          <w:sz w:val="24"/>
          <w:szCs w:val="24"/>
        </w:rPr>
      </w:pPr>
      <w:r w:rsidRPr="00A74D1E">
        <w:rPr>
          <w:rFonts w:ascii="Times New Roman" w:hAnsi="Times New Roman" w:cs="Times New Roman"/>
          <w:b/>
          <w:sz w:val="24"/>
          <w:szCs w:val="24"/>
        </w:rPr>
        <w:t>External Influences Affecting STEM Career Pathways</w:t>
      </w:r>
    </w:p>
    <w:p w14:paraId="29D4C4C0" w14:textId="77777777" w:rsidR="005308CE" w:rsidRDefault="008D292F" w:rsidP="000943B8">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choice of women to purse a STEM career is impacted by their experiences and interactions with environmental factors related to gender roles and gender stereotyping. </w:t>
      </w:r>
      <w:r w:rsidRPr="00AD36D9">
        <w:rPr>
          <w:rFonts w:ascii="Times New Roman" w:hAnsi="Times New Roman" w:cs="Times New Roman"/>
          <w:sz w:val="24"/>
          <w:szCs w:val="24"/>
        </w:rPr>
        <w:t xml:space="preserve">The term gender is more complicated than sex. Sex is based on biology and assigned at birth leading to the male and female designations (Spencer &amp; Capuzza, 2016). Gender identity refers to how an individual identifies or diverges from cultural expectations assigned at birth (Spencer &amp; Capuzza, 2016). These cultural expectations, as perceived by women, influence their personal choice to purse STEM careers with an emphasis on physics and engineering. </w:t>
      </w:r>
    </w:p>
    <w:p w14:paraId="6E13B161" w14:textId="50AC17EE" w:rsidR="008D292F" w:rsidRDefault="008D292F" w:rsidP="00BA4A2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Using a </w:t>
      </w:r>
      <w:r w:rsidRPr="00AD36D9">
        <w:rPr>
          <w:rFonts w:ascii="Times New Roman" w:hAnsi="Times New Roman" w:cs="Times New Roman"/>
          <w:sz w:val="24"/>
          <w:szCs w:val="24"/>
        </w:rPr>
        <w:t xml:space="preserve">working definition of woman or girl </w:t>
      </w:r>
      <w:r>
        <w:rPr>
          <w:rFonts w:ascii="Times New Roman" w:hAnsi="Times New Roman" w:cs="Times New Roman"/>
          <w:sz w:val="24"/>
          <w:szCs w:val="24"/>
        </w:rPr>
        <w:t>as opposed to female</w:t>
      </w:r>
      <w:r w:rsidRPr="00AD36D9">
        <w:rPr>
          <w:rFonts w:ascii="Times New Roman" w:hAnsi="Times New Roman" w:cs="Times New Roman"/>
          <w:sz w:val="24"/>
          <w:szCs w:val="24"/>
        </w:rPr>
        <w:t xml:space="preserve"> </w:t>
      </w:r>
      <w:r w:rsidR="005308CE">
        <w:rPr>
          <w:rFonts w:ascii="Times New Roman" w:hAnsi="Times New Roman" w:cs="Times New Roman"/>
          <w:sz w:val="24"/>
          <w:szCs w:val="24"/>
        </w:rPr>
        <w:t>comes</w:t>
      </w:r>
      <w:r w:rsidR="005308CE" w:rsidRPr="00AD36D9">
        <w:rPr>
          <w:rFonts w:ascii="Times New Roman" w:hAnsi="Times New Roman" w:cs="Times New Roman"/>
          <w:sz w:val="24"/>
          <w:szCs w:val="24"/>
        </w:rPr>
        <w:t xml:space="preserve"> </w:t>
      </w:r>
      <w:r w:rsidRPr="00AD36D9">
        <w:rPr>
          <w:rFonts w:ascii="Times New Roman" w:hAnsi="Times New Roman" w:cs="Times New Roman"/>
          <w:sz w:val="24"/>
          <w:szCs w:val="24"/>
        </w:rPr>
        <w:t>with challenges</w:t>
      </w:r>
      <w:r>
        <w:rPr>
          <w:rFonts w:ascii="Times New Roman" w:hAnsi="Times New Roman" w:cs="Times New Roman"/>
          <w:sz w:val="24"/>
          <w:szCs w:val="24"/>
        </w:rPr>
        <w:t xml:space="preserve"> to existing research</w:t>
      </w:r>
      <w:r w:rsidRPr="00AD36D9">
        <w:rPr>
          <w:rFonts w:ascii="Times New Roman" w:hAnsi="Times New Roman" w:cs="Times New Roman"/>
          <w:sz w:val="24"/>
          <w:szCs w:val="24"/>
        </w:rPr>
        <w:t>. Scholars have historically used sex and gender interchangeably in their research (Bittner &amp; Goodyear-Grant, 2017). The blending of sex and gender, coupled with a binary distinction</w:t>
      </w:r>
      <w:r w:rsidR="007C17AA">
        <w:rPr>
          <w:rFonts w:ascii="Times New Roman" w:hAnsi="Times New Roman" w:cs="Times New Roman"/>
          <w:sz w:val="24"/>
          <w:szCs w:val="24"/>
        </w:rPr>
        <w:t>,</w:t>
      </w:r>
      <w:r w:rsidRPr="00AD36D9">
        <w:rPr>
          <w:rFonts w:ascii="Times New Roman" w:hAnsi="Times New Roman" w:cs="Times New Roman"/>
          <w:sz w:val="24"/>
          <w:szCs w:val="24"/>
        </w:rPr>
        <w:t xml:space="preserve"> leads to a confusion on interpretation or application of the results to a particular gender. Respondents on surveys </w:t>
      </w:r>
      <w:r w:rsidR="005308CE" w:rsidRPr="00AD36D9">
        <w:rPr>
          <w:rFonts w:ascii="Times New Roman" w:hAnsi="Times New Roman" w:cs="Times New Roman"/>
          <w:sz w:val="24"/>
          <w:szCs w:val="24"/>
        </w:rPr>
        <w:t>can</w:t>
      </w:r>
      <w:r w:rsidRPr="00AD36D9">
        <w:rPr>
          <w:rFonts w:ascii="Times New Roman" w:hAnsi="Times New Roman" w:cs="Times New Roman"/>
          <w:sz w:val="24"/>
          <w:szCs w:val="24"/>
        </w:rPr>
        <w:t xml:space="preserve"> select their gender if the question is posed, but there will be some variance if a choice of sex is the only available response. Furthermore, interviewers do not always give the interviewee the choice of declaring their gender but rather the interviewer</w:t>
      </w:r>
      <w:r w:rsidR="007C17AA">
        <w:rPr>
          <w:rFonts w:ascii="Times New Roman" w:hAnsi="Times New Roman" w:cs="Times New Roman"/>
          <w:sz w:val="24"/>
          <w:szCs w:val="24"/>
        </w:rPr>
        <w:t>s</w:t>
      </w:r>
      <w:r w:rsidRPr="00AD36D9">
        <w:rPr>
          <w:rFonts w:ascii="Times New Roman" w:hAnsi="Times New Roman" w:cs="Times New Roman"/>
          <w:sz w:val="24"/>
          <w:szCs w:val="24"/>
        </w:rPr>
        <w:t xml:space="preserve"> make this determination (Bittner &amp; Goodyear-Grant, 2017).</w:t>
      </w:r>
      <w:r>
        <w:rPr>
          <w:rFonts w:ascii="Times New Roman" w:hAnsi="Times New Roman" w:cs="Times New Roman"/>
          <w:sz w:val="24"/>
          <w:szCs w:val="24"/>
        </w:rPr>
        <w:t xml:space="preserve"> The confusion between sex and gender </w:t>
      </w:r>
      <w:r w:rsidR="007C17AA">
        <w:rPr>
          <w:rFonts w:ascii="Times New Roman" w:hAnsi="Times New Roman" w:cs="Times New Roman"/>
          <w:sz w:val="24"/>
          <w:szCs w:val="24"/>
        </w:rPr>
        <w:t>complicates</w:t>
      </w:r>
      <w:r w:rsidR="00141014">
        <w:rPr>
          <w:rFonts w:ascii="Times New Roman" w:hAnsi="Times New Roman" w:cs="Times New Roman"/>
          <w:sz w:val="24"/>
          <w:szCs w:val="24"/>
        </w:rPr>
        <w:t xml:space="preserve"> </w:t>
      </w:r>
      <w:r>
        <w:rPr>
          <w:rFonts w:ascii="Times New Roman" w:hAnsi="Times New Roman" w:cs="Times New Roman"/>
          <w:sz w:val="24"/>
          <w:szCs w:val="24"/>
        </w:rPr>
        <w:t>interpretation</w:t>
      </w:r>
      <w:r w:rsidR="007C17AA">
        <w:rPr>
          <w:rFonts w:ascii="Times New Roman" w:hAnsi="Times New Roman" w:cs="Times New Roman"/>
          <w:sz w:val="24"/>
          <w:szCs w:val="24"/>
        </w:rPr>
        <w:t>s</w:t>
      </w:r>
      <w:r>
        <w:rPr>
          <w:rFonts w:ascii="Times New Roman" w:hAnsi="Times New Roman" w:cs="Times New Roman"/>
          <w:sz w:val="24"/>
          <w:szCs w:val="24"/>
        </w:rPr>
        <w:t xml:space="preserve"> of scholarly research</w:t>
      </w:r>
      <w:r w:rsidR="00141014">
        <w:rPr>
          <w:rFonts w:ascii="Times New Roman" w:hAnsi="Times New Roman" w:cs="Times New Roman"/>
          <w:sz w:val="24"/>
          <w:szCs w:val="24"/>
        </w:rPr>
        <w:t>.</w:t>
      </w:r>
      <w:r w:rsidR="007C17AA">
        <w:rPr>
          <w:rFonts w:ascii="Times New Roman" w:hAnsi="Times New Roman" w:cs="Times New Roman"/>
          <w:sz w:val="24"/>
          <w:szCs w:val="24"/>
        </w:rPr>
        <w:t xml:space="preserve"> T</w:t>
      </w:r>
      <w:r>
        <w:rPr>
          <w:rFonts w:ascii="Times New Roman" w:hAnsi="Times New Roman" w:cs="Times New Roman"/>
          <w:sz w:val="24"/>
          <w:szCs w:val="24"/>
        </w:rPr>
        <w:t>he concept of how gender is different than sex is important to how women believe others view them in society.</w:t>
      </w:r>
    </w:p>
    <w:p w14:paraId="0488D3BF" w14:textId="73C7F0C1" w:rsidR="008D292F" w:rsidRDefault="008D292F" w:rsidP="00BA4A2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experiences and choices that women </w:t>
      </w:r>
      <w:r w:rsidR="00141014">
        <w:rPr>
          <w:rFonts w:ascii="Times New Roman" w:hAnsi="Times New Roman" w:cs="Times New Roman"/>
          <w:sz w:val="24"/>
          <w:szCs w:val="24"/>
        </w:rPr>
        <w:t>ma</w:t>
      </w:r>
      <w:r w:rsidR="007C17AA">
        <w:rPr>
          <w:rFonts w:ascii="Times New Roman" w:hAnsi="Times New Roman" w:cs="Times New Roman"/>
          <w:sz w:val="24"/>
          <w:szCs w:val="24"/>
        </w:rPr>
        <w:t>k</w:t>
      </w:r>
      <w:r w:rsidR="00141014">
        <w:rPr>
          <w:rFonts w:ascii="Times New Roman" w:hAnsi="Times New Roman" w:cs="Times New Roman"/>
          <w:sz w:val="24"/>
          <w:szCs w:val="24"/>
        </w:rPr>
        <w:t xml:space="preserve">e </w:t>
      </w:r>
      <w:r>
        <w:rPr>
          <w:rFonts w:ascii="Times New Roman" w:hAnsi="Times New Roman" w:cs="Times New Roman"/>
          <w:sz w:val="24"/>
          <w:szCs w:val="24"/>
        </w:rPr>
        <w:t xml:space="preserve">during their schooling years </w:t>
      </w:r>
      <w:r w:rsidR="007C17AA">
        <w:rPr>
          <w:rFonts w:ascii="Times New Roman" w:hAnsi="Times New Roman" w:cs="Times New Roman"/>
          <w:sz w:val="24"/>
          <w:szCs w:val="24"/>
        </w:rPr>
        <w:t>i</w:t>
      </w:r>
      <w:r w:rsidR="00141014">
        <w:rPr>
          <w:rFonts w:ascii="Times New Roman" w:hAnsi="Times New Roman" w:cs="Times New Roman"/>
          <w:sz w:val="24"/>
          <w:szCs w:val="24"/>
        </w:rPr>
        <w:t xml:space="preserve">s </w:t>
      </w:r>
      <w:r>
        <w:rPr>
          <w:rFonts w:ascii="Times New Roman" w:hAnsi="Times New Roman" w:cs="Times New Roman"/>
          <w:sz w:val="24"/>
          <w:szCs w:val="24"/>
        </w:rPr>
        <w:t xml:space="preserve">driven by assumptions and biases about their gender and its role. Gender roles are a set </w:t>
      </w:r>
      <w:r w:rsidR="0026329C">
        <w:rPr>
          <w:rFonts w:ascii="Times New Roman" w:hAnsi="Times New Roman" w:cs="Times New Roman"/>
          <w:sz w:val="24"/>
          <w:szCs w:val="24"/>
        </w:rPr>
        <w:t xml:space="preserve">of </w:t>
      </w:r>
      <w:r>
        <w:rPr>
          <w:rFonts w:ascii="Times New Roman" w:hAnsi="Times New Roman" w:cs="Times New Roman"/>
          <w:sz w:val="24"/>
          <w:szCs w:val="24"/>
        </w:rPr>
        <w:t xml:space="preserve">culturally </w:t>
      </w:r>
      <w:r>
        <w:rPr>
          <w:rFonts w:ascii="Times New Roman" w:hAnsi="Times New Roman" w:cs="Times New Roman"/>
          <w:sz w:val="24"/>
          <w:szCs w:val="24"/>
        </w:rPr>
        <w:lastRenderedPageBreak/>
        <w:t>appropriate traits, behaviors, and interests for a gender (Jugovic, 2017). People are more likely to associate careers in math and science with men rather than women (</w:t>
      </w:r>
      <w:r w:rsidR="00DA3F01" w:rsidRPr="00610033">
        <w:rPr>
          <w:rFonts w:ascii="Times New Roman" w:hAnsi="Times New Roman" w:cs="Times New Roman"/>
          <w:sz w:val="24"/>
          <w:szCs w:val="24"/>
        </w:rPr>
        <w:t>American Association of University Women</w:t>
      </w:r>
      <w:r>
        <w:rPr>
          <w:rFonts w:ascii="Times New Roman" w:hAnsi="Times New Roman" w:cs="Times New Roman"/>
          <w:sz w:val="24"/>
          <w:szCs w:val="24"/>
        </w:rPr>
        <w:t>, 2010). These societal assumptions then impact the construction of our own identity. We learn that characteristics that describe what it is to be masculine and feminine are not determined in a biological characteristic but are learned through the social context we experience (Windsong, 2018). What we learn, and how we apply what we believe to groups, results in stereotypes. The assumptions or generalized beliefs about women make up a gender stereotype (Jugovic, 2017).</w:t>
      </w:r>
    </w:p>
    <w:p w14:paraId="1D015468" w14:textId="3E034688" w:rsidR="008D292F" w:rsidRDefault="008D292F" w:rsidP="00BA4A2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existing body of research concerning gender stereotypes and </w:t>
      </w:r>
      <w:r w:rsidR="0026329C">
        <w:rPr>
          <w:rFonts w:ascii="Times New Roman" w:hAnsi="Times New Roman" w:cs="Times New Roman"/>
          <w:sz w:val="24"/>
          <w:szCs w:val="24"/>
        </w:rPr>
        <w:t xml:space="preserve">underrepresentation in </w:t>
      </w:r>
      <w:r>
        <w:rPr>
          <w:rFonts w:ascii="Times New Roman" w:hAnsi="Times New Roman" w:cs="Times New Roman"/>
          <w:sz w:val="24"/>
          <w:szCs w:val="24"/>
        </w:rPr>
        <w:t xml:space="preserve">STEM repeatedly </w:t>
      </w:r>
      <w:r w:rsidR="00141014">
        <w:rPr>
          <w:rFonts w:ascii="Times New Roman" w:hAnsi="Times New Roman" w:cs="Times New Roman"/>
          <w:sz w:val="24"/>
          <w:szCs w:val="24"/>
        </w:rPr>
        <w:t xml:space="preserve">focused </w:t>
      </w:r>
      <w:r>
        <w:rPr>
          <w:rFonts w:ascii="Times New Roman" w:hAnsi="Times New Roman" w:cs="Times New Roman"/>
          <w:sz w:val="24"/>
          <w:szCs w:val="24"/>
        </w:rPr>
        <w:t xml:space="preserve">on the concepts of community and agency </w:t>
      </w:r>
      <w:r w:rsidR="0026329C">
        <w:rPr>
          <w:rFonts w:ascii="Times New Roman" w:hAnsi="Times New Roman" w:cs="Times New Roman"/>
          <w:sz w:val="24"/>
          <w:szCs w:val="24"/>
        </w:rPr>
        <w:t>and how different genders view them</w:t>
      </w:r>
      <w:r>
        <w:rPr>
          <w:rFonts w:ascii="Times New Roman" w:hAnsi="Times New Roman" w:cs="Times New Roman"/>
          <w:sz w:val="24"/>
          <w:szCs w:val="24"/>
        </w:rPr>
        <w:t xml:space="preserve">. Agency is the drive of an individual to use ambition and personal skills for goal achievement and self-promotion (Abele &amp; Wojciszke, 2007). </w:t>
      </w:r>
      <w:r w:rsidR="0026329C">
        <w:rPr>
          <w:rFonts w:ascii="Times New Roman" w:hAnsi="Times New Roman" w:cs="Times New Roman"/>
          <w:sz w:val="24"/>
          <w:szCs w:val="24"/>
        </w:rPr>
        <w:t>Often</w:t>
      </w:r>
      <w:r>
        <w:rPr>
          <w:rFonts w:ascii="Times New Roman" w:hAnsi="Times New Roman" w:cs="Times New Roman"/>
          <w:sz w:val="24"/>
          <w:szCs w:val="24"/>
        </w:rPr>
        <w:t xml:space="preserve"> viewed in opposition</w:t>
      </w:r>
      <w:r w:rsidR="007C17AA">
        <w:rPr>
          <w:rFonts w:ascii="Times New Roman" w:hAnsi="Times New Roman" w:cs="Times New Roman"/>
          <w:sz w:val="24"/>
          <w:szCs w:val="24"/>
        </w:rPr>
        <w:t xml:space="preserve"> to agency</w:t>
      </w:r>
      <w:r>
        <w:rPr>
          <w:rFonts w:ascii="Times New Roman" w:hAnsi="Times New Roman" w:cs="Times New Roman"/>
          <w:sz w:val="24"/>
          <w:szCs w:val="24"/>
        </w:rPr>
        <w:t xml:space="preserve"> is communion</w:t>
      </w:r>
      <w:r w:rsidR="0026329C">
        <w:rPr>
          <w:rFonts w:ascii="Times New Roman" w:hAnsi="Times New Roman" w:cs="Times New Roman"/>
          <w:sz w:val="24"/>
          <w:szCs w:val="24"/>
        </w:rPr>
        <w:t>,</w:t>
      </w:r>
      <w:r>
        <w:rPr>
          <w:rFonts w:ascii="Times New Roman" w:hAnsi="Times New Roman" w:cs="Times New Roman"/>
          <w:sz w:val="24"/>
          <w:szCs w:val="24"/>
        </w:rPr>
        <w:t xml:space="preserve"> where one strives to use personal skills to advance the benefit the community or larger society (Abele &amp; Wojciszke, 2007). Interviews and analysis of the </w:t>
      </w:r>
      <w:r w:rsidR="000A1A13">
        <w:rPr>
          <w:rFonts w:ascii="Times New Roman" w:hAnsi="Times New Roman" w:cs="Times New Roman"/>
          <w:sz w:val="24"/>
          <w:szCs w:val="24"/>
        </w:rPr>
        <w:t xml:space="preserve">prior </w:t>
      </w:r>
      <w:r>
        <w:rPr>
          <w:rFonts w:ascii="Times New Roman" w:hAnsi="Times New Roman" w:cs="Times New Roman"/>
          <w:sz w:val="24"/>
          <w:szCs w:val="24"/>
        </w:rPr>
        <w:t>experience</w:t>
      </w:r>
      <w:r w:rsidR="000A1A13">
        <w:rPr>
          <w:rFonts w:ascii="Times New Roman" w:hAnsi="Times New Roman" w:cs="Times New Roman"/>
          <w:sz w:val="24"/>
          <w:szCs w:val="24"/>
        </w:rPr>
        <w:t>s</w:t>
      </w:r>
      <w:r>
        <w:rPr>
          <w:rFonts w:ascii="Times New Roman" w:hAnsi="Times New Roman" w:cs="Times New Roman"/>
          <w:sz w:val="24"/>
          <w:szCs w:val="24"/>
        </w:rPr>
        <w:t xml:space="preserve"> of research participants led Abele and Wojciszke to categorize motivations for action to benefit either the self or others. Women </w:t>
      </w:r>
      <w:r w:rsidR="00167A9F">
        <w:rPr>
          <w:rFonts w:ascii="Times New Roman" w:hAnsi="Times New Roman" w:cs="Times New Roman"/>
          <w:sz w:val="24"/>
          <w:szCs w:val="24"/>
        </w:rPr>
        <w:t xml:space="preserve">are </w:t>
      </w:r>
      <w:r>
        <w:rPr>
          <w:rFonts w:ascii="Times New Roman" w:hAnsi="Times New Roman" w:cs="Times New Roman"/>
          <w:sz w:val="24"/>
          <w:szCs w:val="24"/>
        </w:rPr>
        <w:t>stereotyped as being more communal and men were stereotyped as displaying more behaviors associated with agency</w:t>
      </w:r>
      <w:r w:rsidR="007E1C1E">
        <w:rPr>
          <w:rFonts w:ascii="Times New Roman" w:hAnsi="Times New Roman" w:cs="Times New Roman"/>
          <w:sz w:val="24"/>
          <w:szCs w:val="24"/>
        </w:rPr>
        <w:t xml:space="preserve"> (Abele &amp; Wojciszke, 2007)</w:t>
      </w:r>
      <w:r>
        <w:rPr>
          <w:rFonts w:ascii="Times New Roman" w:hAnsi="Times New Roman" w:cs="Times New Roman"/>
          <w:sz w:val="24"/>
          <w:szCs w:val="24"/>
        </w:rPr>
        <w:t xml:space="preserve">. </w:t>
      </w:r>
      <w:r w:rsidR="00CD72C1">
        <w:rPr>
          <w:rFonts w:ascii="Times New Roman" w:hAnsi="Times New Roman" w:cs="Times New Roman"/>
          <w:sz w:val="24"/>
          <w:szCs w:val="24"/>
        </w:rPr>
        <w:t>As related to STEM, w</w:t>
      </w:r>
      <w:r>
        <w:rPr>
          <w:rFonts w:ascii="Times New Roman" w:hAnsi="Times New Roman" w:cs="Times New Roman"/>
          <w:sz w:val="24"/>
          <w:szCs w:val="24"/>
        </w:rPr>
        <w:t xml:space="preserve">omen are more likely to endorse communal goals and hold the belief that STEM careers restrict communal goals </w:t>
      </w:r>
      <w:r w:rsidR="00CD72C1">
        <w:rPr>
          <w:rFonts w:ascii="Times New Roman" w:hAnsi="Times New Roman" w:cs="Times New Roman"/>
          <w:sz w:val="24"/>
          <w:szCs w:val="24"/>
        </w:rPr>
        <w:t>whereas m</w:t>
      </w:r>
      <w:r>
        <w:rPr>
          <w:rFonts w:ascii="Times New Roman" w:hAnsi="Times New Roman" w:cs="Times New Roman"/>
          <w:sz w:val="24"/>
          <w:szCs w:val="24"/>
        </w:rPr>
        <w:t xml:space="preserve">en endorse agentic goals more than women, but only marginally (Diekman et al., 2011). </w:t>
      </w:r>
    </w:p>
    <w:p w14:paraId="5792E65B" w14:textId="32768263" w:rsidR="008D292F" w:rsidRDefault="008D292F"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Later research</w:t>
      </w:r>
      <w:r w:rsidR="007A1EC3">
        <w:rPr>
          <w:rFonts w:ascii="Times New Roman" w:hAnsi="Times New Roman" w:cs="Times New Roman"/>
          <w:sz w:val="24"/>
          <w:szCs w:val="24"/>
        </w:rPr>
        <w:t>ers</w:t>
      </w:r>
      <w:r>
        <w:rPr>
          <w:rFonts w:ascii="Times New Roman" w:hAnsi="Times New Roman" w:cs="Times New Roman"/>
          <w:sz w:val="24"/>
          <w:szCs w:val="24"/>
        </w:rPr>
        <w:t xml:space="preserve"> built on these results to go beyond the application of gender differences in community and agency to STEM and non-STEM careers. Stout et al. (2016) </w:t>
      </w:r>
      <w:r w:rsidR="007A1EC3">
        <w:rPr>
          <w:rFonts w:ascii="Times New Roman" w:hAnsi="Times New Roman" w:cs="Times New Roman"/>
          <w:sz w:val="24"/>
          <w:szCs w:val="24"/>
        </w:rPr>
        <w:t>investigated</w:t>
      </w:r>
      <w:r>
        <w:rPr>
          <w:rFonts w:ascii="Times New Roman" w:hAnsi="Times New Roman" w:cs="Times New Roman"/>
          <w:sz w:val="24"/>
          <w:szCs w:val="24"/>
        </w:rPr>
        <w:t xml:space="preserve"> gender differences with</w:t>
      </w:r>
      <w:r w:rsidR="006B2576">
        <w:rPr>
          <w:rFonts w:ascii="Times New Roman" w:hAnsi="Times New Roman" w:cs="Times New Roman"/>
          <w:sz w:val="24"/>
          <w:szCs w:val="24"/>
        </w:rPr>
        <w:t>in</w:t>
      </w:r>
      <w:r>
        <w:rPr>
          <w:rFonts w:ascii="Times New Roman" w:hAnsi="Times New Roman" w:cs="Times New Roman"/>
          <w:sz w:val="24"/>
          <w:szCs w:val="24"/>
        </w:rPr>
        <w:t xml:space="preserve"> a smaller subset of STEM. They </w:t>
      </w:r>
      <w:r w:rsidR="00410D56">
        <w:rPr>
          <w:rFonts w:ascii="Times New Roman" w:hAnsi="Times New Roman" w:cs="Times New Roman"/>
          <w:sz w:val="24"/>
          <w:szCs w:val="24"/>
        </w:rPr>
        <w:t>investigated</w:t>
      </w:r>
      <w:r>
        <w:rPr>
          <w:rFonts w:ascii="Times New Roman" w:hAnsi="Times New Roman" w:cs="Times New Roman"/>
          <w:sz w:val="24"/>
          <w:szCs w:val="24"/>
        </w:rPr>
        <w:t xml:space="preserve"> gender differences in the </w:t>
      </w:r>
      <w:r>
        <w:rPr>
          <w:rFonts w:ascii="Times New Roman" w:hAnsi="Times New Roman" w:cs="Times New Roman"/>
          <w:sz w:val="24"/>
          <w:szCs w:val="24"/>
        </w:rPr>
        <w:lastRenderedPageBreak/>
        <w:t xml:space="preserve">physical science portion of STEM </w:t>
      </w:r>
      <w:r w:rsidR="006B2576">
        <w:rPr>
          <w:rFonts w:ascii="Times New Roman" w:hAnsi="Times New Roman" w:cs="Times New Roman"/>
          <w:sz w:val="24"/>
          <w:szCs w:val="24"/>
        </w:rPr>
        <w:t>(</w:t>
      </w:r>
      <w:r>
        <w:rPr>
          <w:rFonts w:ascii="Times New Roman" w:hAnsi="Times New Roman" w:cs="Times New Roman"/>
          <w:sz w:val="24"/>
          <w:szCs w:val="24"/>
        </w:rPr>
        <w:t>pSTEM</w:t>
      </w:r>
      <w:r w:rsidR="006B2576">
        <w:rPr>
          <w:rFonts w:ascii="Times New Roman" w:hAnsi="Times New Roman" w:cs="Times New Roman"/>
          <w:sz w:val="24"/>
          <w:szCs w:val="24"/>
        </w:rPr>
        <w:t>)</w:t>
      </w:r>
      <w:r>
        <w:rPr>
          <w:rFonts w:ascii="Times New Roman" w:hAnsi="Times New Roman" w:cs="Times New Roman"/>
          <w:sz w:val="24"/>
          <w:szCs w:val="24"/>
        </w:rPr>
        <w:t xml:space="preserve"> from behavioral science careers. Physical science fields and engineering are believed to encompass working individually with inorganic matter, and </w:t>
      </w:r>
      <w:r w:rsidR="006B2576">
        <w:rPr>
          <w:rFonts w:ascii="Times New Roman" w:hAnsi="Times New Roman" w:cs="Times New Roman"/>
          <w:sz w:val="24"/>
          <w:szCs w:val="24"/>
        </w:rPr>
        <w:t xml:space="preserve">employees or </w:t>
      </w:r>
      <w:r w:rsidR="00981691">
        <w:rPr>
          <w:rFonts w:ascii="Times New Roman" w:hAnsi="Times New Roman" w:cs="Times New Roman"/>
          <w:sz w:val="24"/>
          <w:szCs w:val="24"/>
        </w:rPr>
        <w:t>researchers</w:t>
      </w:r>
      <w:r w:rsidR="006B2576">
        <w:rPr>
          <w:rFonts w:ascii="Times New Roman" w:hAnsi="Times New Roman" w:cs="Times New Roman"/>
          <w:sz w:val="24"/>
          <w:szCs w:val="24"/>
        </w:rPr>
        <w:t xml:space="preserve"> </w:t>
      </w:r>
      <w:r>
        <w:rPr>
          <w:rFonts w:ascii="Times New Roman" w:hAnsi="Times New Roman" w:cs="Times New Roman"/>
          <w:sz w:val="24"/>
          <w:szCs w:val="24"/>
        </w:rPr>
        <w:t>are personally compensated well for discoveries (Stout et al., 2016). Th</w:t>
      </w:r>
      <w:r w:rsidR="007A1EC3">
        <w:rPr>
          <w:rFonts w:ascii="Times New Roman" w:hAnsi="Times New Roman" w:cs="Times New Roman"/>
          <w:sz w:val="24"/>
          <w:szCs w:val="24"/>
        </w:rPr>
        <w:t xml:space="preserve">ese </w:t>
      </w:r>
      <w:r w:rsidR="00110B36">
        <w:rPr>
          <w:rFonts w:ascii="Times New Roman" w:hAnsi="Times New Roman" w:cs="Times New Roman"/>
          <w:sz w:val="24"/>
          <w:szCs w:val="24"/>
        </w:rPr>
        <w:t>perspectives</w:t>
      </w:r>
      <w:r w:rsidR="007A1EC3">
        <w:rPr>
          <w:rFonts w:ascii="Times New Roman" w:hAnsi="Times New Roman" w:cs="Times New Roman"/>
          <w:sz w:val="24"/>
          <w:szCs w:val="24"/>
        </w:rPr>
        <w:t xml:space="preserve"> are</w:t>
      </w:r>
      <w:r>
        <w:rPr>
          <w:rFonts w:ascii="Times New Roman" w:hAnsi="Times New Roman" w:cs="Times New Roman"/>
          <w:sz w:val="24"/>
          <w:szCs w:val="24"/>
        </w:rPr>
        <w:t xml:space="preserve"> in opposition to the view that biological and behavior fields afford opportunities to help and work with others (Diekman et al., 2010</w:t>
      </w:r>
      <w:r w:rsidR="00645233">
        <w:rPr>
          <w:rFonts w:ascii="Times New Roman" w:hAnsi="Times New Roman" w:cs="Times New Roman"/>
          <w:sz w:val="24"/>
          <w:szCs w:val="24"/>
        </w:rPr>
        <w:t>;</w:t>
      </w:r>
      <w:r>
        <w:rPr>
          <w:rFonts w:ascii="Times New Roman" w:hAnsi="Times New Roman" w:cs="Times New Roman"/>
          <w:sz w:val="24"/>
          <w:szCs w:val="24"/>
        </w:rPr>
        <w:t xml:space="preserve"> 2011). Their results showed that women view pSTEM careers as being more agentic (Stout et al., 2016). The perceptions held by women on engineering or physics related careers</w:t>
      </w:r>
      <w:r w:rsidR="006B2576">
        <w:rPr>
          <w:rFonts w:ascii="Times New Roman" w:hAnsi="Times New Roman" w:cs="Times New Roman"/>
          <w:sz w:val="24"/>
          <w:szCs w:val="24"/>
        </w:rPr>
        <w:t>,</w:t>
      </w:r>
      <w:r>
        <w:rPr>
          <w:rFonts w:ascii="Times New Roman" w:hAnsi="Times New Roman" w:cs="Times New Roman"/>
          <w:sz w:val="24"/>
          <w:szCs w:val="24"/>
        </w:rPr>
        <w:t xml:space="preserve"> coupled with the stereotype that women are more communal</w:t>
      </w:r>
      <w:r w:rsidR="006B2576">
        <w:rPr>
          <w:rFonts w:ascii="Times New Roman" w:hAnsi="Times New Roman" w:cs="Times New Roman"/>
          <w:sz w:val="24"/>
          <w:szCs w:val="24"/>
        </w:rPr>
        <w:t>,</w:t>
      </w:r>
      <w:r>
        <w:rPr>
          <w:rFonts w:ascii="Times New Roman" w:hAnsi="Times New Roman" w:cs="Times New Roman"/>
          <w:sz w:val="24"/>
          <w:szCs w:val="24"/>
        </w:rPr>
        <w:t xml:space="preserve"> </w:t>
      </w:r>
      <w:r w:rsidR="00141014">
        <w:rPr>
          <w:rFonts w:ascii="Times New Roman" w:hAnsi="Times New Roman" w:cs="Times New Roman"/>
          <w:sz w:val="24"/>
          <w:szCs w:val="24"/>
        </w:rPr>
        <w:t xml:space="preserve">gave </w:t>
      </w:r>
      <w:r>
        <w:rPr>
          <w:rFonts w:ascii="Times New Roman" w:hAnsi="Times New Roman" w:cs="Times New Roman"/>
          <w:sz w:val="24"/>
          <w:szCs w:val="24"/>
        </w:rPr>
        <w:t xml:space="preserve">evidence for </w:t>
      </w:r>
      <w:r w:rsidR="006B2576">
        <w:rPr>
          <w:rFonts w:ascii="Times New Roman" w:hAnsi="Times New Roman" w:cs="Times New Roman"/>
          <w:sz w:val="24"/>
          <w:szCs w:val="24"/>
        </w:rPr>
        <w:t xml:space="preserve">a lower </w:t>
      </w:r>
      <w:r>
        <w:rPr>
          <w:rFonts w:ascii="Times New Roman" w:hAnsi="Times New Roman" w:cs="Times New Roman"/>
          <w:sz w:val="24"/>
          <w:szCs w:val="24"/>
        </w:rPr>
        <w:t>lack of interest in pSTEM fields</w:t>
      </w:r>
      <w:r w:rsidR="006B2576">
        <w:rPr>
          <w:rFonts w:ascii="Times New Roman" w:hAnsi="Times New Roman" w:cs="Times New Roman"/>
          <w:sz w:val="24"/>
          <w:szCs w:val="24"/>
        </w:rPr>
        <w:t xml:space="preserve"> by women</w:t>
      </w:r>
      <w:r>
        <w:rPr>
          <w:rFonts w:ascii="Times New Roman" w:hAnsi="Times New Roman" w:cs="Times New Roman"/>
          <w:sz w:val="24"/>
          <w:szCs w:val="24"/>
        </w:rPr>
        <w:t xml:space="preserve">. The gender divergence within STEM fields between biology and the physical sciences is rooted both in gender stereotypes and assumptions about </w:t>
      </w:r>
      <w:r w:rsidR="006B2576">
        <w:rPr>
          <w:rFonts w:ascii="Times New Roman" w:hAnsi="Times New Roman" w:cs="Times New Roman"/>
          <w:sz w:val="24"/>
          <w:szCs w:val="24"/>
        </w:rPr>
        <w:t xml:space="preserve">STEM </w:t>
      </w:r>
      <w:r>
        <w:rPr>
          <w:rFonts w:ascii="Times New Roman" w:hAnsi="Times New Roman" w:cs="Times New Roman"/>
          <w:sz w:val="24"/>
          <w:szCs w:val="24"/>
        </w:rPr>
        <w:t xml:space="preserve">fields of study. </w:t>
      </w:r>
    </w:p>
    <w:p w14:paraId="399C06A1" w14:textId="2A825DC9" w:rsidR="008D292F" w:rsidRDefault="008D292F"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polarized views about the characteristics of physical science fields versus biological fields in STEM careers leads to conflict and negative </w:t>
      </w:r>
      <w:r w:rsidR="00981691">
        <w:rPr>
          <w:rFonts w:ascii="Times New Roman" w:hAnsi="Times New Roman" w:cs="Times New Roman"/>
          <w:sz w:val="24"/>
          <w:szCs w:val="24"/>
        </w:rPr>
        <w:t>effects</w:t>
      </w:r>
      <w:r>
        <w:rPr>
          <w:rFonts w:ascii="Times New Roman" w:hAnsi="Times New Roman" w:cs="Times New Roman"/>
          <w:sz w:val="24"/>
          <w:szCs w:val="24"/>
        </w:rPr>
        <w:t xml:space="preserve"> </w:t>
      </w:r>
      <w:r w:rsidR="00CF75AD">
        <w:rPr>
          <w:rFonts w:ascii="Times New Roman" w:hAnsi="Times New Roman" w:cs="Times New Roman"/>
          <w:sz w:val="24"/>
          <w:szCs w:val="24"/>
        </w:rPr>
        <w:t xml:space="preserve">on women </w:t>
      </w:r>
      <w:r>
        <w:rPr>
          <w:rFonts w:ascii="Times New Roman" w:hAnsi="Times New Roman" w:cs="Times New Roman"/>
          <w:sz w:val="24"/>
          <w:szCs w:val="24"/>
        </w:rPr>
        <w:t>when gender assumptions are applied. The anxiety felt by an individual that arises from the negative assumption of group characteristics is stereotype threat (Beasley &amp; Fischer, 2012). Stereotype threat is often experienced by women working in agentic occupations such as science and engineering. Careers in engineering are viewed as more masculine and therefore women working in those fields are often viewed as less competent (</w:t>
      </w:r>
      <w:r w:rsidR="00DA3F01" w:rsidRPr="00610033">
        <w:rPr>
          <w:rFonts w:ascii="Times New Roman" w:hAnsi="Times New Roman" w:cs="Times New Roman"/>
          <w:sz w:val="24"/>
          <w:szCs w:val="24"/>
        </w:rPr>
        <w:t>American Association of University Women</w:t>
      </w:r>
      <w:r>
        <w:rPr>
          <w:rFonts w:ascii="Times New Roman" w:hAnsi="Times New Roman" w:cs="Times New Roman"/>
          <w:sz w:val="24"/>
          <w:szCs w:val="24"/>
        </w:rPr>
        <w:t>, 2010). A woman’s success in this assumed masculine career leads to less likability by peers. The combination of low assumed competency and likability lead to less women pursuing jobs in engineering (</w:t>
      </w:r>
      <w:r w:rsidR="00DA3F01" w:rsidRPr="00610033">
        <w:rPr>
          <w:rFonts w:ascii="Times New Roman" w:hAnsi="Times New Roman" w:cs="Times New Roman"/>
          <w:sz w:val="24"/>
          <w:szCs w:val="24"/>
        </w:rPr>
        <w:t>American Association of University Women</w:t>
      </w:r>
      <w:r>
        <w:rPr>
          <w:rFonts w:ascii="Times New Roman" w:hAnsi="Times New Roman" w:cs="Times New Roman"/>
          <w:sz w:val="24"/>
          <w:szCs w:val="24"/>
        </w:rPr>
        <w:t xml:space="preserve">, 2010). </w:t>
      </w:r>
    </w:p>
    <w:p w14:paraId="31B71299" w14:textId="3EBEF6B4" w:rsidR="008D292F" w:rsidRPr="00731DEB" w:rsidRDefault="008D292F"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Gender differences </w:t>
      </w:r>
      <w:r w:rsidR="001C3DFF">
        <w:rPr>
          <w:rFonts w:ascii="Times New Roman" w:hAnsi="Times New Roman" w:cs="Times New Roman"/>
          <w:sz w:val="24"/>
          <w:szCs w:val="24"/>
        </w:rPr>
        <w:t xml:space="preserve">exist </w:t>
      </w:r>
      <w:r>
        <w:rPr>
          <w:rFonts w:ascii="Times New Roman" w:hAnsi="Times New Roman" w:cs="Times New Roman"/>
          <w:sz w:val="24"/>
          <w:szCs w:val="24"/>
        </w:rPr>
        <w:t xml:space="preserve">in how trusted adults encourage students who are considering a STEM career. </w:t>
      </w:r>
      <w:r w:rsidRPr="00AD36D9">
        <w:rPr>
          <w:rFonts w:ascii="Times New Roman" w:hAnsi="Times New Roman" w:cs="Times New Roman"/>
          <w:sz w:val="24"/>
          <w:szCs w:val="24"/>
        </w:rPr>
        <w:t xml:space="preserve">Mujtaba and Reiss (2016) found that the support and encouragement that women receive in their post-16 education impacted </w:t>
      </w:r>
      <w:r w:rsidR="00CD72C1">
        <w:rPr>
          <w:rFonts w:ascii="Times New Roman" w:hAnsi="Times New Roman" w:cs="Times New Roman"/>
          <w:sz w:val="24"/>
          <w:szCs w:val="24"/>
        </w:rPr>
        <w:t>their</w:t>
      </w:r>
      <w:r w:rsidR="00CD72C1"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aspirations. </w:t>
      </w:r>
      <w:r>
        <w:rPr>
          <w:rFonts w:ascii="Times New Roman" w:hAnsi="Times New Roman" w:cs="Times New Roman"/>
          <w:sz w:val="24"/>
          <w:szCs w:val="24"/>
        </w:rPr>
        <w:t>The</w:t>
      </w:r>
      <w:r w:rsidR="00D01610">
        <w:rPr>
          <w:rFonts w:ascii="Times New Roman" w:hAnsi="Times New Roman" w:cs="Times New Roman"/>
          <w:sz w:val="24"/>
          <w:szCs w:val="24"/>
        </w:rPr>
        <w:t>y</w:t>
      </w:r>
      <w:r>
        <w:rPr>
          <w:rFonts w:ascii="Times New Roman" w:hAnsi="Times New Roman" w:cs="Times New Roman"/>
          <w:sz w:val="24"/>
          <w:szCs w:val="24"/>
        </w:rPr>
        <w:t xml:space="preserve"> </w:t>
      </w:r>
      <w:r w:rsidR="0068209F">
        <w:rPr>
          <w:rFonts w:ascii="Times New Roman" w:hAnsi="Times New Roman" w:cs="Times New Roman"/>
          <w:sz w:val="24"/>
          <w:szCs w:val="24"/>
        </w:rPr>
        <w:t>found</w:t>
      </w:r>
      <w:r w:rsidRPr="00AD36D9">
        <w:rPr>
          <w:rFonts w:ascii="Times New Roman" w:hAnsi="Times New Roman" w:cs="Times New Roman"/>
          <w:sz w:val="24"/>
          <w:szCs w:val="24"/>
        </w:rPr>
        <w:t xml:space="preserve"> that high aspiring </w:t>
      </w:r>
      <w:r w:rsidRPr="00AD36D9">
        <w:rPr>
          <w:rFonts w:ascii="Times New Roman" w:hAnsi="Times New Roman" w:cs="Times New Roman"/>
          <w:sz w:val="24"/>
          <w:szCs w:val="24"/>
        </w:rPr>
        <w:lastRenderedPageBreak/>
        <w:t>women had a lower mathematics self-concept than the high aspiring men</w:t>
      </w:r>
      <w:r>
        <w:rPr>
          <w:rFonts w:ascii="Times New Roman" w:hAnsi="Times New Roman" w:cs="Times New Roman"/>
          <w:sz w:val="24"/>
          <w:szCs w:val="24"/>
        </w:rPr>
        <w:t xml:space="preserve">. </w:t>
      </w:r>
      <w:r w:rsidRPr="00AD36D9">
        <w:rPr>
          <w:rFonts w:ascii="Times New Roman" w:hAnsi="Times New Roman" w:cs="Times New Roman"/>
          <w:sz w:val="24"/>
          <w:szCs w:val="24"/>
        </w:rPr>
        <w:t>Between genders, the high aspiring men still received more support than high aspiring women (Mujtaba &amp; Reiss, 2016)</w:t>
      </w:r>
      <w:r>
        <w:rPr>
          <w:rFonts w:ascii="Times New Roman" w:hAnsi="Times New Roman" w:cs="Times New Roman"/>
          <w:sz w:val="24"/>
          <w:szCs w:val="24"/>
        </w:rPr>
        <w:t xml:space="preserve">. </w:t>
      </w:r>
      <w:r w:rsidR="00441049">
        <w:rPr>
          <w:rFonts w:ascii="Times New Roman" w:hAnsi="Times New Roman" w:cs="Times New Roman"/>
          <w:sz w:val="24"/>
          <w:szCs w:val="24"/>
        </w:rPr>
        <w:t>These results are</w:t>
      </w:r>
      <w:r w:rsidR="00D01610">
        <w:rPr>
          <w:rFonts w:ascii="Times New Roman" w:hAnsi="Times New Roman" w:cs="Times New Roman"/>
          <w:sz w:val="24"/>
          <w:szCs w:val="24"/>
        </w:rPr>
        <w:t xml:space="preserve"> true not only of adult support and encouragement from adults in the classroom</w:t>
      </w:r>
      <w:r w:rsidR="00441049">
        <w:rPr>
          <w:rFonts w:ascii="Times New Roman" w:hAnsi="Times New Roman" w:cs="Times New Roman"/>
          <w:sz w:val="24"/>
          <w:szCs w:val="24"/>
        </w:rPr>
        <w:t>,</w:t>
      </w:r>
      <w:r w:rsidR="00D01610">
        <w:rPr>
          <w:rFonts w:ascii="Times New Roman" w:hAnsi="Times New Roman" w:cs="Times New Roman"/>
          <w:sz w:val="24"/>
          <w:szCs w:val="24"/>
        </w:rPr>
        <w:t xml:space="preserve"> but </w:t>
      </w:r>
      <w:r w:rsidR="00441049">
        <w:rPr>
          <w:rFonts w:ascii="Times New Roman" w:hAnsi="Times New Roman" w:cs="Times New Roman"/>
          <w:sz w:val="24"/>
          <w:szCs w:val="24"/>
        </w:rPr>
        <w:t xml:space="preserve">they </w:t>
      </w:r>
      <w:r w:rsidR="00D01610">
        <w:rPr>
          <w:rFonts w:ascii="Times New Roman" w:hAnsi="Times New Roman" w:cs="Times New Roman"/>
          <w:sz w:val="24"/>
          <w:szCs w:val="24"/>
        </w:rPr>
        <w:t xml:space="preserve">also applies to parental support and encouragement </w:t>
      </w:r>
      <w:r w:rsidR="00A437A4">
        <w:rPr>
          <w:rFonts w:ascii="Times New Roman" w:hAnsi="Times New Roman" w:cs="Times New Roman"/>
          <w:sz w:val="24"/>
          <w:szCs w:val="24"/>
        </w:rPr>
        <w:t xml:space="preserve">from parents </w:t>
      </w:r>
      <w:r w:rsidR="00D01610">
        <w:rPr>
          <w:rFonts w:ascii="Times New Roman" w:hAnsi="Times New Roman" w:cs="Times New Roman"/>
          <w:sz w:val="24"/>
          <w:szCs w:val="24"/>
        </w:rPr>
        <w:t xml:space="preserve">received by study participants </w:t>
      </w:r>
      <w:r>
        <w:rPr>
          <w:rFonts w:ascii="Times New Roman" w:hAnsi="Times New Roman" w:cs="Times New Roman"/>
          <w:sz w:val="24"/>
          <w:szCs w:val="24"/>
        </w:rPr>
        <w:t xml:space="preserve">(Mujtaba &amp; Reiss, 2016). </w:t>
      </w:r>
    </w:p>
    <w:p w14:paraId="575155B1" w14:textId="77777777" w:rsidR="008D292F" w:rsidRPr="00A74D1E" w:rsidRDefault="008D292F" w:rsidP="00BA4A2D">
      <w:pPr>
        <w:widowControl w:val="0"/>
        <w:spacing w:after="0" w:line="480" w:lineRule="auto"/>
        <w:rPr>
          <w:rFonts w:ascii="Times New Roman" w:hAnsi="Times New Roman" w:cs="Times New Roman"/>
          <w:b/>
          <w:sz w:val="24"/>
          <w:szCs w:val="24"/>
        </w:rPr>
      </w:pPr>
      <w:r w:rsidRPr="00A74D1E">
        <w:rPr>
          <w:rFonts w:ascii="Times New Roman" w:hAnsi="Times New Roman" w:cs="Times New Roman"/>
          <w:b/>
          <w:sz w:val="24"/>
          <w:szCs w:val="24"/>
        </w:rPr>
        <w:t>Internal Influences Affecting STEM Career Pathways</w:t>
      </w:r>
    </w:p>
    <w:p w14:paraId="66514688" w14:textId="0A6DAFD7" w:rsidR="008D292F" w:rsidRDefault="008D292F" w:rsidP="00BA4A2D">
      <w:pPr>
        <w:widowControl w:val="0"/>
        <w:spacing w:after="0" w:line="480" w:lineRule="auto"/>
        <w:ind w:firstLine="720"/>
        <w:rPr>
          <w:rFonts w:ascii="Times New Roman" w:hAnsi="Times New Roman" w:cs="Times New Roman"/>
          <w:sz w:val="24"/>
          <w:szCs w:val="24"/>
        </w:rPr>
      </w:pPr>
      <w:r w:rsidRPr="00AD36D9">
        <w:rPr>
          <w:rFonts w:ascii="Times New Roman" w:hAnsi="Times New Roman" w:cs="Times New Roman"/>
          <w:sz w:val="24"/>
          <w:szCs w:val="24"/>
        </w:rPr>
        <w:t xml:space="preserve">The </w:t>
      </w:r>
      <w:r>
        <w:rPr>
          <w:rFonts w:ascii="Times New Roman" w:hAnsi="Times New Roman" w:cs="Times New Roman"/>
          <w:sz w:val="24"/>
          <w:szCs w:val="24"/>
        </w:rPr>
        <w:t>underrepresentation of women in</w:t>
      </w:r>
      <w:r w:rsidRPr="00AD36D9">
        <w:rPr>
          <w:rFonts w:ascii="Times New Roman" w:hAnsi="Times New Roman" w:cs="Times New Roman"/>
          <w:sz w:val="24"/>
          <w:szCs w:val="24"/>
        </w:rPr>
        <w:t xml:space="preserve"> </w:t>
      </w:r>
      <w:r>
        <w:rPr>
          <w:rFonts w:ascii="Times New Roman" w:hAnsi="Times New Roman" w:cs="Times New Roman"/>
          <w:sz w:val="24"/>
          <w:szCs w:val="24"/>
        </w:rPr>
        <w:t xml:space="preserve">STEM </w:t>
      </w:r>
      <w:r w:rsidRPr="00AD36D9">
        <w:rPr>
          <w:rFonts w:ascii="Times New Roman" w:hAnsi="Times New Roman" w:cs="Times New Roman"/>
          <w:sz w:val="24"/>
          <w:szCs w:val="24"/>
        </w:rPr>
        <w:t xml:space="preserve">college majors, and therefore </w:t>
      </w:r>
      <w:r w:rsidR="00A437A4">
        <w:rPr>
          <w:rFonts w:ascii="Times New Roman" w:hAnsi="Times New Roman" w:cs="Times New Roman"/>
          <w:sz w:val="24"/>
          <w:szCs w:val="24"/>
        </w:rPr>
        <w:t xml:space="preserve">the underrepresentation of women in </w:t>
      </w:r>
      <w:r w:rsidRPr="00AD36D9">
        <w:rPr>
          <w:rFonts w:ascii="Times New Roman" w:hAnsi="Times New Roman" w:cs="Times New Roman"/>
          <w:sz w:val="24"/>
          <w:szCs w:val="24"/>
        </w:rPr>
        <w:t>STEM career pathways</w:t>
      </w:r>
      <w:r>
        <w:rPr>
          <w:rFonts w:ascii="Times New Roman" w:hAnsi="Times New Roman" w:cs="Times New Roman"/>
          <w:sz w:val="24"/>
          <w:szCs w:val="24"/>
        </w:rPr>
        <w:t xml:space="preserve">, </w:t>
      </w:r>
      <w:r w:rsidR="00A437A4">
        <w:rPr>
          <w:rFonts w:ascii="Times New Roman" w:hAnsi="Times New Roman" w:cs="Times New Roman"/>
          <w:sz w:val="24"/>
          <w:szCs w:val="24"/>
        </w:rPr>
        <w:t>is also</w:t>
      </w:r>
      <w:r>
        <w:rPr>
          <w:rFonts w:ascii="Times New Roman" w:hAnsi="Times New Roman" w:cs="Times New Roman"/>
          <w:sz w:val="24"/>
          <w:szCs w:val="24"/>
        </w:rPr>
        <w:t xml:space="preserve"> affected by internal factors. While the</w:t>
      </w:r>
      <w:r w:rsidRPr="00AD36D9">
        <w:rPr>
          <w:rFonts w:ascii="Times New Roman" w:hAnsi="Times New Roman" w:cs="Times New Roman"/>
          <w:sz w:val="24"/>
          <w:szCs w:val="24"/>
        </w:rPr>
        <w:t xml:space="preserve"> low enrollment of women in STEM fields is impacted by many factors, initial and continuing interest in the topic of math and science learning </w:t>
      </w:r>
      <w:r>
        <w:rPr>
          <w:rFonts w:ascii="Times New Roman" w:hAnsi="Times New Roman" w:cs="Times New Roman"/>
          <w:sz w:val="24"/>
          <w:szCs w:val="24"/>
        </w:rPr>
        <w:t>did</w:t>
      </w:r>
      <w:r w:rsidRPr="00AD36D9">
        <w:rPr>
          <w:rFonts w:ascii="Times New Roman" w:hAnsi="Times New Roman" w:cs="Times New Roman"/>
          <w:sz w:val="24"/>
          <w:szCs w:val="24"/>
        </w:rPr>
        <w:t xml:space="preserve"> not appear to be a key factor</w:t>
      </w:r>
      <w:r>
        <w:rPr>
          <w:rFonts w:ascii="Times New Roman" w:hAnsi="Times New Roman" w:cs="Times New Roman"/>
          <w:sz w:val="24"/>
          <w:szCs w:val="24"/>
        </w:rPr>
        <w:t xml:space="preserve"> to Laefer (2009)</w:t>
      </w:r>
      <w:r w:rsidR="00CD72C1">
        <w:rPr>
          <w:rFonts w:ascii="Times New Roman" w:hAnsi="Times New Roman" w:cs="Times New Roman"/>
          <w:sz w:val="24"/>
          <w:szCs w:val="24"/>
        </w:rPr>
        <w:t>, who</w:t>
      </w:r>
      <w:r>
        <w:rPr>
          <w:rFonts w:ascii="Times New Roman" w:hAnsi="Times New Roman" w:cs="Times New Roman"/>
          <w:sz w:val="24"/>
          <w:szCs w:val="24"/>
        </w:rPr>
        <w:t xml:space="preserve"> t</w:t>
      </w:r>
      <w:r w:rsidRPr="00AD36D9">
        <w:rPr>
          <w:rFonts w:ascii="Times New Roman" w:hAnsi="Times New Roman" w:cs="Times New Roman"/>
          <w:sz w:val="24"/>
          <w:szCs w:val="24"/>
        </w:rPr>
        <w:t xml:space="preserve">racked </w:t>
      </w:r>
      <w:r>
        <w:rPr>
          <w:rFonts w:ascii="Times New Roman" w:hAnsi="Times New Roman" w:cs="Times New Roman"/>
          <w:sz w:val="24"/>
          <w:szCs w:val="24"/>
        </w:rPr>
        <w:t xml:space="preserve">women </w:t>
      </w:r>
      <w:r w:rsidRPr="00AD36D9">
        <w:rPr>
          <w:rFonts w:ascii="Times New Roman" w:hAnsi="Times New Roman" w:cs="Times New Roman"/>
          <w:sz w:val="24"/>
          <w:szCs w:val="24"/>
        </w:rPr>
        <w:t xml:space="preserve">over the course of four years </w:t>
      </w:r>
      <w:r>
        <w:rPr>
          <w:rFonts w:ascii="Times New Roman" w:hAnsi="Times New Roman" w:cs="Times New Roman"/>
          <w:sz w:val="24"/>
          <w:szCs w:val="24"/>
        </w:rPr>
        <w:t>in high school. W</w:t>
      </w:r>
      <w:r w:rsidRPr="00AD36D9">
        <w:rPr>
          <w:rFonts w:ascii="Times New Roman" w:hAnsi="Times New Roman" w:cs="Times New Roman"/>
          <w:sz w:val="24"/>
          <w:szCs w:val="24"/>
        </w:rPr>
        <w:t xml:space="preserve">omen </w:t>
      </w:r>
      <w:r w:rsidR="00CD72C1">
        <w:rPr>
          <w:rFonts w:ascii="Times New Roman" w:hAnsi="Times New Roman" w:cs="Times New Roman"/>
          <w:sz w:val="24"/>
          <w:szCs w:val="24"/>
        </w:rPr>
        <w:t>had</w:t>
      </w:r>
      <w:r w:rsidRPr="00AD36D9">
        <w:rPr>
          <w:rFonts w:ascii="Times New Roman" w:hAnsi="Times New Roman" w:cs="Times New Roman"/>
          <w:sz w:val="24"/>
          <w:szCs w:val="24"/>
        </w:rPr>
        <w:t xml:space="preserve"> lower levels of interest in math and science learning than </w:t>
      </w:r>
      <w:r>
        <w:rPr>
          <w:rFonts w:ascii="Times New Roman" w:hAnsi="Times New Roman" w:cs="Times New Roman"/>
          <w:sz w:val="24"/>
          <w:szCs w:val="24"/>
        </w:rPr>
        <w:t xml:space="preserve">men, but this </w:t>
      </w:r>
      <w:r w:rsidRPr="00AD36D9">
        <w:rPr>
          <w:rFonts w:ascii="Times New Roman" w:hAnsi="Times New Roman" w:cs="Times New Roman"/>
          <w:sz w:val="24"/>
          <w:szCs w:val="24"/>
        </w:rPr>
        <w:t xml:space="preserve">difference </w:t>
      </w:r>
      <w:r>
        <w:rPr>
          <w:rFonts w:ascii="Times New Roman" w:hAnsi="Times New Roman" w:cs="Times New Roman"/>
          <w:sz w:val="24"/>
          <w:szCs w:val="24"/>
        </w:rPr>
        <w:t>was</w:t>
      </w:r>
      <w:r w:rsidRPr="00AD36D9">
        <w:rPr>
          <w:rFonts w:ascii="Times New Roman" w:hAnsi="Times New Roman" w:cs="Times New Roman"/>
          <w:sz w:val="24"/>
          <w:szCs w:val="24"/>
        </w:rPr>
        <w:t xml:space="preserve"> only about 10% (Laefer, 2009). Enrollment figures </w:t>
      </w:r>
      <w:r w:rsidR="00692358">
        <w:rPr>
          <w:rFonts w:ascii="Times New Roman" w:hAnsi="Times New Roman" w:cs="Times New Roman"/>
          <w:sz w:val="24"/>
          <w:szCs w:val="24"/>
        </w:rPr>
        <w:t>at</w:t>
      </w:r>
      <w:r w:rsidR="00692358" w:rsidRPr="00AD36D9">
        <w:rPr>
          <w:rFonts w:ascii="Times New Roman" w:hAnsi="Times New Roman" w:cs="Times New Roman"/>
          <w:sz w:val="24"/>
          <w:szCs w:val="24"/>
        </w:rPr>
        <w:t xml:space="preserve"> </w:t>
      </w:r>
      <w:r>
        <w:rPr>
          <w:rFonts w:ascii="Times New Roman" w:hAnsi="Times New Roman" w:cs="Times New Roman"/>
          <w:sz w:val="24"/>
          <w:szCs w:val="24"/>
        </w:rPr>
        <w:t>the</w:t>
      </w:r>
      <w:r w:rsidR="00D01610">
        <w:rPr>
          <w:rFonts w:ascii="Times New Roman" w:hAnsi="Times New Roman" w:cs="Times New Roman"/>
          <w:sz w:val="24"/>
          <w:szCs w:val="24"/>
        </w:rPr>
        <w:t xml:space="preserve"> high school in the study were slightly higher for enrollment</w:t>
      </w:r>
      <w:r>
        <w:rPr>
          <w:rFonts w:ascii="Times New Roman" w:hAnsi="Times New Roman" w:cs="Times New Roman"/>
          <w:sz w:val="24"/>
          <w:szCs w:val="24"/>
        </w:rPr>
        <w:t xml:space="preserve"> </w:t>
      </w:r>
      <w:r w:rsidRPr="00AD36D9">
        <w:rPr>
          <w:rFonts w:ascii="Times New Roman" w:hAnsi="Times New Roman" w:cs="Times New Roman"/>
          <w:sz w:val="24"/>
          <w:szCs w:val="24"/>
        </w:rPr>
        <w:t xml:space="preserve">and achievement of women in major math and science courses except in physics and calculus. That difference </w:t>
      </w:r>
      <w:r w:rsidR="00837830" w:rsidRPr="00AD36D9">
        <w:rPr>
          <w:rFonts w:ascii="Times New Roman" w:hAnsi="Times New Roman" w:cs="Times New Roman"/>
          <w:sz w:val="24"/>
          <w:szCs w:val="24"/>
        </w:rPr>
        <w:t>indicate</w:t>
      </w:r>
      <w:r w:rsidR="00837830">
        <w:rPr>
          <w:rFonts w:ascii="Times New Roman" w:hAnsi="Times New Roman" w:cs="Times New Roman"/>
          <w:sz w:val="24"/>
          <w:szCs w:val="24"/>
        </w:rPr>
        <w:t>d</w:t>
      </w:r>
      <w:r w:rsidR="00837830"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the beginning of the shift in enrollment patterns between women and men in college courses begins in later high school when engineering specific courses are chosen (Laefer, 2009). </w:t>
      </w:r>
      <w:r>
        <w:rPr>
          <w:rFonts w:ascii="Times New Roman" w:hAnsi="Times New Roman" w:cs="Times New Roman"/>
          <w:sz w:val="24"/>
          <w:szCs w:val="24"/>
        </w:rPr>
        <w:t xml:space="preserve">These results </w:t>
      </w:r>
      <w:r w:rsidR="00D01610">
        <w:rPr>
          <w:rFonts w:ascii="Times New Roman" w:hAnsi="Times New Roman" w:cs="Times New Roman"/>
          <w:sz w:val="24"/>
          <w:szCs w:val="24"/>
        </w:rPr>
        <w:t>disagree</w:t>
      </w:r>
      <w:r>
        <w:rPr>
          <w:rFonts w:ascii="Times New Roman" w:hAnsi="Times New Roman" w:cs="Times New Roman"/>
          <w:sz w:val="24"/>
          <w:szCs w:val="24"/>
        </w:rPr>
        <w:t xml:space="preserve"> with both the work of Hardin and Longhurst (2016) as well as Veloo et al. (2015)</w:t>
      </w:r>
      <w:r w:rsidR="00DA3F01">
        <w:rPr>
          <w:rFonts w:ascii="Times New Roman" w:hAnsi="Times New Roman" w:cs="Times New Roman"/>
          <w:sz w:val="24"/>
          <w:szCs w:val="24"/>
        </w:rPr>
        <w:t>,</w:t>
      </w:r>
      <w:r>
        <w:rPr>
          <w:rFonts w:ascii="Times New Roman" w:hAnsi="Times New Roman" w:cs="Times New Roman"/>
          <w:sz w:val="24"/>
          <w:szCs w:val="24"/>
        </w:rPr>
        <w:t xml:space="preserve"> who found men had a significantly higher level of STEM interest in and careers in physics than women. </w:t>
      </w:r>
    </w:p>
    <w:p w14:paraId="7658DE76" w14:textId="0EB77222" w:rsidR="00EB3DB0" w:rsidRDefault="00EB3DB0" w:rsidP="00BA4A2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connections between STEM interest and physics courses </w:t>
      </w:r>
      <w:r w:rsidR="00D01610">
        <w:rPr>
          <w:rFonts w:ascii="Times New Roman" w:hAnsi="Times New Roman" w:cs="Times New Roman"/>
          <w:sz w:val="24"/>
          <w:szCs w:val="24"/>
        </w:rPr>
        <w:t xml:space="preserve">were </w:t>
      </w:r>
      <w:r>
        <w:rPr>
          <w:rFonts w:ascii="Times New Roman" w:hAnsi="Times New Roman" w:cs="Times New Roman"/>
          <w:sz w:val="24"/>
          <w:szCs w:val="24"/>
        </w:rPr>
        <w:t>studied by Sadler et al. (2014)</w:t>
      </w:r>
      <w:r w:rsidR="001831F4">
        <w:rPr>
          <w:rFonts w:ascii="Times New Roman" w:hAnsi="Times New Roman" w:cs="Times New Roman"/>
          <w:sz w:val="24"/>
          <w:szCs w:val="24"/>
        </w:rPr>
        <w:t>,</w:t>
      </w:r>
      <w:r>
        <w:rPr>
          <w:rFonts w:ascii="Times New Roman" w:hAnsi="Times New Roman" w:cs="Times New Roman"/>
          <w:sz w:val="24"/>
          <w:szCs w:val="24"/>
        </w:rPr>
        <w:t xml:space="preserve"> who confirmed e</w:t>
      </w:r>
      <w:r w:rsidRPr="00AD36D9">
        <w:rPr>
          <w:rFonts w:ascii="Times New Roman" w:hAnsi="Times New Roman" w:cs="Times New Roman"/>
          <w:sz w:val="24"/>
          <w:szCs w:val="24"/>
        </w:rPr>
        <w:t>nrollment patterns i</w:t>
      </w:r>
      <w:r>
        <w:rPr>
          <w:rFonts w:ascii="Times New Roman" w:hAnsi="Times New Roman" w:cs="Times New Roman"/>
          <w:sz w:val="24"/>
          <w:szCs w:val="24"/>
        </w:rPr>
        <w:t>n high school</w:t>
      </w:r>
      <w:r w:rsidRPr="00AD36D9">
        <w:rPr>
          <w:rFonts w:ascii="Times New Roman" w:hAnsi="Times New Roman" w:cs="Times New Roman"/>
          <w:sz w:val="24"/>
          <w:szCs w:val="24"/>
        </w:rPr>
        <w:t xml:space="preserve"> impact future STEM college choices. </w:t>
      </w:r>
      <w:r>
        <w:rPr>
          <w:rFonts w:ascii="Times New Roman" w:hAnsi="Times New Roman" w:cs="Times New Roman"/>
          <w:sz w:val="24"/>
          <w:szCs w:val="24"/>
        </w:rPr>
        <w:t>Their research</w:t>
      </w:r>
      <w:r w:rsidRPr="00AD36D9">
        <w:rPr>
          <w:rFonts w:ascii="Times New Roman" w:hAnsi="Times New Roman" w:cs="Times New Roman"/>
          <w:sz w:val="24"/>
          <w:szCs w:val="24"/>
        </w:rPr>
        <w:t xml:space="preserve"> explored the role of advanced high school coursework on STEM career interests</w:t>
      </w:r>
      <w:r>
        <w:rPr>
          <w:rFonts w:ascii="Times New Roman" w:hAnsi="Times New Roman" w:cs="Times New Roman"/>
          <w:sz w:val="24"/>
          <w:szCs w:val="24"/>
        </w:rPr>
        <w:t xml:space="preserve"> of college students. </w:t>
      </w:r>
      <w:r w:rsidRPr="00AD36D9">
        <w:rPr>
          <w:rFonts w:ascii="Times New Roman" w:hAnsi="Times New Roman" w:cs="Times New Roman"/>
          <w:sz w:val="24"/>
          <w:szCs w:val="24"/>
        </w:rPr>
        <w:t>After controlling for prior interest, students taking a second year</w:t>
      </w:r>
      <w:r>
        <w:rPr>
          <w:rFonts w:ascii="Times New Roman" w:hAnsi="Times New Roman" w:cs="Times New Roman"/>
          <w:sz w:val="24"/>
          <w:szCs w:val="24"/>
        </w:rPr>
        <w:t xml:space="preserve"> of </w:t>
      </w:r>
      <w:r>
        <w:rPr>
          <w:rFonts w:ascii="Times New Roman" w:hAnsi="Times New Roman" w:cs="Times New Roman"/>
          <w:sz w:val="24"/>
          <w:szCs w:val="24"/>
        </w:rPr>
        <w:lastRenderedPageBreak/>
        <w:t>physics were found to have</w:t>
      </w:r>
      <w:r w:rsidRPr="00AD36D9">
        <w:rPr>
          <w:rFonts w:ascii="Times New Roman" w:hAnsi="Times New Roman" w:cs="Times New Roman"/>
          <w:sz w:val="24"/>
          <w:szCs w:val="24"/>
        </w:rPr>
        <w:t xml:space="preserve"> large</w:t>
      </w:r>
      <w:r>
        <w:rPr>
          <w:rFonts w:ascii="Times New Roman" w:hAnsi="Times New Roman" w:cs="Times New Roman"/>
          <w:sz w:val="24"/>
          <w:szCs w:val="24"/>
        </w:rPr>
        <w:t>r</w:t>
      </w:r>
      <w:r w:rsidRPr="00AD36D9">
        <w:rPr>
          <w:rFonts w:ascii="Times New Roman" w:hAnsi="Times New Roman" w:cs="Times New Roman"/>
          <w:sz w:val="24"/>
          <w:szCs w:val="24"/>
        </w:rPr>
        <w:t xml:space="preserve"> career STEM interest (Sadler et al., 2014). Nix et al. (2015) analyzed the longitudinal perspectives of men and women in STEM degree fields</w:t>
      </w:r>
      <w:r>
        <w:rPr>
          <w:rFonts w:ascii="Times New Roman" w:hAnsi="Times New Roman" w:cs="Times New Roman"/>
          <w:sz w:val="24"/>
          <w:szCs w:val="24"/>
        </w:rPr>
        <w:t xml:space="preserve"> also demonstrated implications for enrollment patterns</w:t>
      </w:r>
      <w:r w:rsidRPr="00AD36D9">
        <w:rPr>
          <w:rFonts w:ascii="Times New Roman" w:hAnsi="Times New Roman" w:cs="Times New Roman"/>
          <w:sz w:val="24"/>
          <w:szCs w:val="24"/>
        </w:rPr>
        <w:t>. This study built upon existing research to look at the role of a student’s beliefs about mathematics material and how these beliefs</w:t>
      </w:r>
      <w:r w:rsidR="00D01610">
        <w:rPr>
          <w:rFonts w:ascii="Times New Roman" w:hAnsi="Times New Roman" w:cs="Times New Roman"/>
          <w:sz w:val="24"/>
          <w:szCs w:val="24"/>
        </w:rPr>
        <w:t xml:space="preserve"> influence</w:t>
      </w:r>
      <w:r w:rsidRPr="00AD36D9">
        <w:rPr>
          <w:rFonts w:ascii="Times New Roman" w:hAnsi="Times New Roman" w:cs="Times New Roman"/>
          <w:sz w:val="24"/>
          <w:szCs w:val="24"/>
        </w:rPr>
        <w:t xml:space="preserve"> persistence in scientific fields. The data collected came from the Educational Longitudinal Study conducted by the National Center for Educational Statistics. </w:t>
      </w:r>
      <w:r>
        <w:rPr>
          <w:rFonts w:ascii="Times New Roman" w:hAnsi="Times New Roman" w:cs="Times New Roman"/>
          <w:sz w:val="24"/>
          <w:szCs w:val="24"/>
        </w:rPr>
        <w:t>Their r</w:t>
      </w:r>
      <w:r w:rsidRPr="00AD36D9">
        <w:rPr>
          <w:rFonts w:ascii="Times New Roman" w:hAnsi="Times New Roman" w:cs="Times New Roman"/>
          <w:sz w:val="24"/>
          <w:szCs w:val="24"/>
        </w:rPr>
        <w:t xml:space="preserve">esults </w:t>
      </w:r>
      <w:r>
        <w:rPr>
          <w:rFonts w:ascii="Times New Roman" w:hAnsi="Times New Roman" w:cs="Times New Roman"/>
          <w:sz w:val="24"/>
          <w:szCs w:val="24"/>
        </w:rPr>
        <w:t>showed</w:t>
      </w:r>
      <w:r w:rsidRPr="00AD36D9">
        <w:rPr>
          <w:rFonts w:ascii="Times New Roman" w:hAnsi="Times New Roman" w:cs="Times New Roman"/>
          <w:sz w:val="24"/>
          <w:szCs w:val="24"/>
        </w:rPr>
        <w:t xml:space="preserve"> that young women were less likely to report a growth mindset than </w:t>
      </w:r>
      <w:r w:rsidR="00E173BF">
        <w:rPr>
          <w:rFonts w:ascii="Times New Roman" w:hAnsi="Times New Roman" w:cs="Times New Roman"/>
          <w:sz w:val="24"/>
          <w:szCs w:val="24"/>
        </w:rPr>
        <w:t xml:space="preserve">young </w:t>
      </w:r>
      <w:r w:rsidRPr="00AD36D9">
        <w:rPr>
          <w:rFonts w:ascii="Times New Roman" w:hAnsi="Times New Roman" w:cs="Times New Roman"/>
          <w:sz w:val="24"/>
          <w:szCs w:val="24"/>
        </w:rPr>
        <w:t xml:space="preserve">men. </w:t>
      </w:r>
      <w:r w:rsidR="00A53CCB">
        <w:rPr>
          <w:rFonts w:ascii="Times New Roman" w:hAnsi="Times New Roman" w:cs="Times New Roman"/>
          <w:sz w:val="24"/>
          <w:szCs w:val="24"/>
        </w:rPr>
        <w:t>C</w:t>
      </w:r>
      <w:r w:rsidR="00D01610">
        <w:rPr>
          <w:rFonts w:ascii="Times New Roman" w:hAnsi="Times New Roman" w:cs="Times New Roman"/>
          <w:sz w:val="24"/>
          <w:szCs w:val="24"/>
        </w:rPr>
        <w:t>ompared to men, women were 24% less likely to complete both Chemistry II and Physics II (</w:t>
      </w:r>
      <w:r w:rsidRPr="00AD36D9">
        <w:rPr>
          <w:rFonts w:ascii="Times New Roman" w:hAnsi="Times New Roman" w:cs="Times New Roman"/>
          <w:sz w:val="24"/>
          <w:szCs w:val="24"/>
        </w:rPr>
        <w:t xml:space="preserve">Nix et al., 2015). Therefore, gender negatively </w:t>
      </w:r>
      <w:r w:rsidR="00837830" w:rsidRPr="00AD36D9">
        <w:rPr>
          <w:rFonts w:ascii="Times New Roman" w:hAnsi="Times New Roman" w:cs="Times New Roman"/>
          <w:sz w:val="24"/>
          <w:szCs w:val="24"/>
        </w:rPr>
        <w:t>predict</w:t>
      </w:r>
      <w:r w:rsidR="00837830">
        <w:rPr>
          <w:rFonts w:ascii="Times New Roman" w:hAnsi="Times New Roman" w:cs="Times New Roman"/>
          <w:sz w:val="24"/>
          <w:szCs w:val="24"/>
        </w:rPr>
        <w:t>ed</w:t>
      </w:r>
      <w:r w:rsidR="00837830" w:rsidRPr="00AD36D9">
        <w:rPr>
          <w:rFonts w:ascii="Times New Roman" w:hAnsi="Times New Roman" w:cs="Times New Roman"/>
          <w:sz w:val="24"/>
          <w:szCs w:val="24"/>
        </w:rPr>
        <w:t xml:space="preserve"> </w:t>
      </w:r>
      <w:r w:rsidRPr="00AD36D9">
        <w:rPr>
          <w:rFonts w:ascii="Times New Roman" w:hAnsi="Times New Roman" w:cs="Times New Roman"/>
          <w:sz w:val="24"/>
          <w:szCs w:val="24"/>
        </w:rPr>
        <w:t>advanced course taking.</w:t>
      </w:r>
    </w:p>
    <w:p w14:paraId="570BCA70" w14:textId="67EB6236" w:rsidR="008D292F" w:rsidRDefault="008D292F" w:rsidP="00BA4A2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STEM interest has been found to have two traditional predictors, self-efficacy and how agentic STEM careers are viewed by individuals. Diekman et al. (2010) explored the impact </w:t>
      </w:r>
      <w:r w:rsidR="001831F4">
        <w:rPr>
          <w:rFonts w:ascii="Times New Roman" w:hAnsi="Times New Roman" w:cs="Times New Roman"/>
          <w:sz w:val="24"/>
          <w:szCs w:val="24"/>
        </w:rPr>
        <w:t>both</w:t>
      </w:r>
      <w:r>
        <w:rPr>
          <w:rFonts w:ascii="Times New Roman" w:hAnsi="Times New Roman" w:cs="Times New Roman"/>
          <w:sz w:val="24"/>
          <w:szCs w:val="24"/>
        </w:rPr>
        <w:t xml:space="preserve"> internal factors had on STEM interest. The quantitative study of college students showed that participants believed that STEM careers impede communal goals</w:t>
      </w:r>
      <w:r w:rsidR="00692358">
        <w:rPr>
          <w:rFonts w:ascii="Times New Roman" w:hAnsi="Times New Roman" w:cs="Times New Roman"/>
          <w:sz w:val="24"/>
          <w:szCs w:val="24"/>
        </w:rPr>
        <w:t>. Additional findings indicated</w:t>
      </w:r>
      <w:r>
        <w:rPr>
          <w:rFonts w:ascii="Times New Roman" w:hAnsi="Times New Roman" w:cs="Times New Roman"/>
          <w:sz w:val="24"/>
          <w:szCs w:val="24"/>
        </w:rPr>
        <w:t xml:space="preserve"> that communal goal endorsement negatively predicted STEM interest (Diekman et al., 2010). Coupling these results with those of Abele and Wojciszke (2007)</w:t>
      </w:r>
      <w:r w:rsidR="00692358">
        <w:rPr>
          <w:rFonts w:ascii="Times New Roman" w:hAnsi="Times New Roman" w:cs="Times New Roman"/>
          <w:sz w:val="24"/>
          <w:szCs w:val="24"/>
        </w:rPr>
        <w:t>,</w:t>
      </w:r>
      <w:r>
        <w:rPr>
          <w:rFonts w:ascii="Times New Roman" w:hAnsi="Times New Roman" w:cs="Times New Roman"/>
          <w:sz w:val="24"/>
          <w:szCs w:val="24"/>
        </w:rPr>
        <w:t xml:space="preserve"> who demonstrated the strength of communal goal orientation by women, </w:t>
      </w:r>
      <w:r w:rsidR="00293BE9">
        <w:rPr>
          <w:rFonts w:ascii="Times New Roman" w:hAnsi="Times New Roman" w:cs="Times New Roman"/>
          <w:sz w:val="24"/>
          <w:szCs w:val="24"/>
        </w:rPr>
        <w:t xml:space="preserve">the mutual research results provide </w:t>
      </w:r>
      <w:r>
        <w:rPr>
          <w:rFonts w:ascii="Times New Roman" w:hAnsi="Times New Roman" w:cs="Times New Roman"/>
          <w:sz w:val="24"/>
          <w:szCs w:val="24"/>
        </w:rPr>
        <w:t xml:space="preserve">some explanation for the lower interest women have for STEM fields found both by Laefer (2009) and later by Veloo et al. (2015). </w:t>
      </w:r>
      <w:r w:rsidR="00692358">
        <w:rPr>
          <w:rFonts w:ascii="Times New Roman" w:hAnsi="Times New Roman" w:cs="Times New Roman"/>
          <w:sz w:val="24"/>
          <w:szCs w:val="24"/>
        </w:rPr>
        <w:t xml:space="preserve">Women with strong communal goals are not interested in STEM careers because they believe those professions are more agentic than communal. </w:t>
      </w:r>
    </w:p>
    <w:p w14:paraId="7A620E44" w14:textId="14F5C3CF" w:rsidR="008D292F" w:rsidRDefault="008D292F" w:rsidP="00BA4A2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second common internal factor explored for impact on STEM interest is self-efficacy. Bandura (1977) theorized that one’s belief in success at a task serves as a behavior affecting motivator. These self-efficacy beliefs guide what we believe we can and cannot be (Bembenutty, 2007). Bandura’s general theory was verified when applied to specific fields of </w:t>
      </w:r>
      <w:r>
        <w:rPr>
          <w:rFonts w:ascii="Times New Roman" w:hAnsi="Times New Roman" w:cs="Times New Roman"/>
          <w:sz w:val="24"/>
          <w:szCs w:val="24"/>
        </w:rPr>
        <w:lastRenderedPageBreak/>
        <w:t xml:space="preserve">study </w:t>
      </w:r>
      <w:r w:rsidR="00FA3604">
        <w:rPr>
          <w:rFonts w:ascii="Times New Roman" w:hAnsi="Times New Roman" w:cs="Times New Roman"/>
          <w:sz w:val="24"/>
          <w:szCs w:val="24"/>
        </w:rPr>
        <w:t>including STEM careers</w:t>
      </w:r>
      <w:r>
        <w:rPr>
          <w:rFonts w:ascii="Times New Roman" w:hAnsi="Times New Roman" w:cs="Times New Roman"/>
          <w:sz w:val="24"/>
          <w:szCs w:val="24"/>
        </w:rPr>
        <w:t xml:space="preserve">. A person’s level of self-efficacy was found </w:t>
      </w:r>
      <w:r w:rsidR="00FA3604">
        <w:rPr>
          <w:rFonts w:ascii="Times New Roman" w:hAnsi="Times New Roman" w:cs="Times New Roman"/>
          <w:sz w:val="24"/>
          <w:szCs w:val="24"/>
        </w:rPr>
        <w:t xml:space="preserve">by Diekman et al. </w:t>
      </w:r>
      <w:r>
        <w:rPr>
          <w:rFonts w:ascii="Times New Roman" w:hAnsi="Times New Roman" w:cs="Times New Roman"/>
          <w:sz w:val="24"/>
          <w:szCs w:val="24"/>
        </w:rPr>
        <w:t>to be a strong predictor of STEM interest. These findings have continued to be verified by additional research by Dou et al. (2016</w:t>
      </w:r>
      <w:r w:rsidR="00727C0F">
        <w:rPr>
          <w:rFonts w:ascii="Times New Roman" w:hAnsi="Times New Roman" w:cs="Times New Roman"/>
          <w:sz w:val="24"/>
          <w:szCs w:val="24"/>
        </w:rPr>
        <w:t>), who</w:t>
      </w:r>
      <w:r>
        <w:rPr>
          <w:rFonts w:ascii="Times New Roman" w:hAnsi="Times New Roman" w:cs="Times New Roman"/>
          <w:sz w:val="24"/>
          <w:szCs w:val="24"/>
        </w:rPr>
        <w:t xml:space="preserve"> found self-efficacy played a major role in career decision making</w:t>
      </w:r>
      <w:r w:rsidR="00727C0F">
        <w:rPr>
          <w:rFonts w:ascii="Times New Roman" w:hAnsi="Times New Roman" w:cs="Times New Roman"/>
          <w:sz w:val="24"/>
          <w:szCs w:val="24"/>
        </w:rPr>
        <w:t xml:space="preserve"> after controlling for academic attainment and aptitude</w:t>
      </w:r>
      <w:r>
        <w:rPr>
          <w:rFonts w:ascii="Times New Roman" w:hAnsi="Times New Roman" w:cs="Times New Roman"/>
          <w:sz w:val="24"/>
          <w:szCs w:val="24"/>
        </w:rPr>
        <w:t>. Students who had high levels of self-efficacy in a particular field of study were more likely to set goals and pursue careers in that field (Dou et al., 2016).</w:t>
      </w:r>
    </w:p>
    <w:p w14:paraId="1ECA2FE8" w14:textId="0DCBD4A2" w:rsidR="008D292F" w:rsidRDefault="008D292F" w:rsidP="00BA4A2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theory of self-efficacy posited by Bandura</w:t>
      </w:r>
      <w:r w:rsidR="008E40E6">
        <w:rPr>
          <w:rFonts w:ascii="Times New Roman" w:hAnsi="Times New Roman" w:cs="Times New Roman"/>
          <w:sz w:val="24"/>
          <w:szCs w:val="24"/>
        </w:rPr>
        <w:t xml:space="preserve"> (1977)</w:t>
      </w:r>
      <w:r>
        <w:rPr>
          <w:rFonts w:ascii="Times New Roman" w:hAnsi="Times New Roman" w:cs="Times New Roman"/>
          <w:sz w:val="24"/>
          <w:szCs w:val="24"/>
        </w:rPr>
        <w:t xml:space="preserve"> is broad in how results of studies </w:t>
      </w:r>
      <w:r w:rsidR="00D54D60">
        <w:rPr>
          <w:rFonts w:ascii="Times New Roman" w:hAnsi="Times New Roman" w:cs="Times New Roman"/>
          <w:sz w:val="24"/>
          <w:szCs w:val="24"/>
        </w:rPr>
        <w:t xml:space="preserve">demonstrate impact on STEM interests. </w:t>
      </w:r>
      <w:r w:rsidR="00DA594F">
        <w:rPr>
          <w:rFonts w:ascii="Times New Roman" w:hAnsi="Times New Roman" w:cs="Times New Roman"/>
          <w:sz w:val="24"/>
          <w:szCs w:val="24"/>
        </w:rPr>
        <w:t>To</w:t>
      </w:r>
      <w:r w:rsidR="00D54D60">
        <w:rPr>
          <w:rFonts w:ascii="Times New Roman" w:hAnsi="Times New Roman" w:cs="Times New Roman"/>
          <w:sz w:val="24"/>
          <w:szCs w:val="24"/>
        </w:rPr>
        <w:t xml:space="preserve"> gain better insight into how to </w:t>
      </w:r>
      <w:r>
        <w:rPr>
          <w:rFonts w:ascii="Times New Roman" w:hAnsi="Times New Roman" w:cs="Times New Roman"/>
          <w:sz w:val="24"/>
          <w:szCs w:val="24"/>
        </w:rPr>
        <w:t xml:space="preserve">affect change in populations making decisions </w:t>
      </w:r>
      <w:r w:rsidR="00D54D60">
        <w:rPr>
          <w:rFonts w:ascii="Times New Roman" w:hAnsi="Times New Roman" w:cs="Times New Roman"/>
          <w:sz w:val="24"/>
          <w:szCs w:val="24"/>
        </w:rPr>
        <w:t>about</w:t>
      </w:r>
      <w:r>
        <w:rPr>
          <w:rFonts w:ascii="Times New Roman" w:hAnsi="Times New Roman" w:cs="Times New Roman"/>
          <w:sz w:val="24"/>
          <w:szCs w:val="24"/>
        </w:rPr>
        <w:t xml:space="preserve"> STEM careers</w:t>
      </w:r>
      <w:r w:rsidR="00D54D60">
        <w:rPr>
          <w:rFonts w:ascii="Times New Roman" w:hAnsi="Times New Roman" w:cs="Times New Roman"/>
          <w:sz w:val="24"/>
          <w:szCs w:val="24"/>
        </w:rPr>
        <w:t xml:space="preserve"> researchers began to use Bandura’s theory in more specific ways</w:t>
      </w:r>
      <w:r>
        <w:rPr>
          <w:rFonts w:ascii="Times New Roman" w:hAnsi="Times New Roman" w:cs="Times New Roman"/>
          <w:sz w:val="24"/>
          <w:szCs w:val="24"/>
        </w:rPr>
        <w:t xml:space="preserve">. Areas of research </w:t>
      </w:r>
      <w:r w:rsidR="008E40E6">
        <w:rPr>
          <w:rFonts w:ascii="Times New Roman" w:hAnsi="Times New Roman" w:cs="Times New Roman"/>
          <w:sz w:val="24"/>
          <w:szCs w:val="24"/>
        </w:rPr>
        <w:t>drawn from</w:t>
      </w:r>
      <w:r>
        <w:rPr>
          <w:rFonts w:ascii="Times New Roman" w:hAnsi="Times New Roman" w:cs="Times New Roman"/>
          <w:sz w:val="24"/>
          <w:szCs w:val="24"/>
        </w:rPr>
        <w:t xml:space="preserve"> </w:t>
      </w:r>
      <w:r w:rsidR="00727C0F">
        <w:rPr>
          <w:rFonts w:ascii="Times New Roman" w:hAnsi="Times New Roman" w:cs="Times New Roman"/>
          <w:sz w:val="24"/>
          <w:szCs w:val="24"/>
        </w:rPr>
        <w:t xml:space="preserve">Bandura’s </w:t>
      </w:r>
      <w:r>
        <w:rPr>
          <w:rFonts w:ascii="Times New Roman" w:hAnsi="Times New Roman" w:cs="Times New Roman"/>
          <w:sz w:val="24"/>
          <w:szCs w:val="24"/>
        </w:rPr>
        <w:t>theory concentrated on the different dimensions of self-efficacy. Raelin et al. (2014) explored three dimensions of self-efficacy</w:t>
      </w:r>
      <w:r w:rsidR="008E40E6">
        <w:rPr>
          <w:rFonts w:ascii="Times New Roman" w:hAnsi="Times New Roman" w:cs="Times New Roman"/>
          <w:color w:val="000000"/>
          <w:sz w:val="24"/>
          <w:szCs w:val="24"/>
          <w:shd w:val="clear" w:color="auto" w:fill="FFFFFF"/>
        </w:rPr>
        <w:t>—</w:t>
      </w:r>
      <w:r>
        <w:rPr>
          <w:rFonts w:ascii="Times New Roman" w:hAnsi="Times New Roman" w:cs="Times New Roman"/>
          <w:sz w:val="24"/>
          <w:szCs w:val="24"/>
        </w:rPr>
        <w:t>work, career, and academic</w:t>
      </w:r>
      <w:r w:rsidR="008E40E6">
        <w:rPr>
          <w:rFonts w:ascii="Times New Roman" w:hAnsi="Times New Roman" w:cs="Times New Roman"/>
          <w:color w:val="000000"/>
          <w:sz w:val="24"/>
          <w:szCs w:val="24"/>
          <w:shd w:val="clear" w:color="auto" w:fill="FFFFFF"/>
        </w:rPr>
        <w:t xml:space="preserve">—and </w:t>
      </w:r>
      <w:r>
        <w:rPr>
          <w:rFonts w:ascii="Times New Roman" w:hAnsi="Times New Roman" w:cs="Times New Roman"/>
          <w:sz w:val="24"/>
          <w:szCs w:val="24"/>
        </w:rPr>
        <w:t>focused on significance and gender differences in one’s belief in success within their workplace, an engineering career, or within the classroom setting</w:t>
      </w:r>
      <w:r w:rsidR="00D54D60">
        <w:rPr>
          <w:rFonts w:ascii="Times New Roman" w:hAnsi="Times New Roman" w:cs="Times New Roman"/>
          <w:sz w:val="24"/>
          <w:szCs w:val="24"/>
        </w:rPr>
        <w:t xml:space="preserve">. Raelin </w:t>
      </w:r>
      <w:r w:rsidR="002C576A">
        <w:rPr>
          <w:rFonts w:ascii="Times New Roman" w:hAnsi="Times New Roman" w:cs="Times New Roman"/>
          <w:sz w:val="24"/>
          <w:szCs w:val="24"/>
        </w:rPr>
        <w:t xml:space="preserve">et al. </w:t>
      </w:r>
      <w:r w:rsidR="00D54D60">
        <w:rPr>
          <w:rFonts w:ascii="Times New Roman" w:hAnsi="Times New Roman" w:cs="Times New Roman"/>
          <w:sz w:val="24"/>
          <w:szCs w:val="24"/>
        </w:rPr>
        <w:t>also explored the</w:t>
      </w:r>
      <w:r>
        <w:rPr>
          <w:rFonts w:ascii="Times New Roman" w:hAnsi="Times New Roman" w:cs="Times New Roman"/>
          <w:sz w:val="24"/>
          <w:szCs w:val="24"/>
        </w:rPr>
        <w:t xml:space="preserve"> effects </w:t>
      </w:r>
      <w:r w:rsidR="00D54D60">
        <w:rPr>
          <w:rFonts w:ascii="Times New Roman" w:hAnsi="Times New Roman" w:cs="Times New Roman"/>
          <w:sz w:val="24"/>
          <w:szCs w:val="24"/>
        </w:rPr>
        <w:t xml:space="preserve">of those dimensions </w:t>
      </w:r>
      <w:r>
        <w:rPr>
          <w:rFonts w:ascii="Times New Roman" w:hAnsi="Times New Roman" w:cs="Times New Roman"/>
          <w:sz w:val="24"/>
          <w:szCs w:val="24"/>
        </w:rPr>
        <w:t>on retention in STEM fields of study in college. Findings suggested that academic self-efficacy was critical to retention in STEM programs in all longitudinal time periods for women (Raelin et al., 2014). In other words, wom</w:t>
      </w:r>
      <w:r w:rsidR="00727C0F">
        <w:rPr>
          <w:rFonts w:ascii="Times New Roman" w:hAnsi="Times New Roman" w:cs="Times New Roman"/>
          <w:sz w:val="24"/>
          <w:szCs w:val="24"/>
        </w:rPr>
        <w:t>e</w:t>
      </w:r>
      <w:r>
        <w:rPr>
          <w:rFonts w:ascii="Times New Roman" w:hAnsi="Times New Roman" w:cs="Times New Roman"/>
          <w:sz w:val="24"/>
          <w:szCs w:val="24"/>
        </w:rPr>
        <w:t xml:space="preserve">n’s belief in their success </w:t>
      </w:r>
      <w:r w:rsidR="002C576A">
        <w:rPr>
          <w:rFonts w:ascii="Times New Roman" w:hAnsi="Times New Roman" w:cs="Times New Roman"/>
          <w:sz w:val="24"/>
          <w:szCs w:val="24"/>
        </w:rPr>
        <w:t xml:space="preserve">in STEM </w:t>
      </w:r>
      <w:r>
        <w:rPr>
          <w:rFonts w:ascii="Times New Roman" w:hAnsi="Times New Roman" w:cs="Times New Roman"/>
          <w:sz w:val="24"/>
          <w:szCs w:val="24"/>
        </w:rPr>
        <w:t xml:space="preserve">continually and significantly </w:t>
      </w:r>
      <w:r w:rsidR="00DA594F">
        <w:rPr>
          <w:rFonts w:ascii="Times New Roman" w:hAnsi="Times New Roman" w:cs="Times New Roman"/>
          <w:sz w:val="24"/>
          <w:szCs w:val="24"/>
        </w:rPr>
        <w:t>impacts</w:t>
      </w:r>
      <w:r w:rsidR="002C576A">
        <w:rPr>
          <w:rFonts w:ascii="Times New Roman" w:hAnsi="Times New Roman" w:cs="Times New Roman"/>
          <w:sz w:val="24"/>
          <w:szCs w:val="24"/>
        </w:rPr>
        <w:t xml:space="preserve"> STEM retention</w:t>
      </w:r>
      <w:r>
        <w:rPr>
          <w:rFonts w:ascii="Times New Roman" w:hAnsi="Times New Roman" w:cs="Times New Roman"/>
          <w:sz w:val="24"/>
          <w:szCs w:val="24"/>
        </w:rPr>
        <w:t xml:space="preserve">. </w:t>
      </w:r>
    </w:p>
    <w:p w14:paraId="4D9C8BA8" w14:textId="5FA8FE67" w:rsidR="008D292F" w:rsidRDefault="008D292F" w:rsidP="00BA4A2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addition to </w:t>
      </w:r>
      <w:r w:rsidR="00563C5D">
        <w:rPr>
          <w:rFonts w:ascii="Times New Roman" w:hAnsi="Times New Roman" w:cs="Times New Roman"/>
          <w:sz w:val="24"/>
          <w:szCs w:val="24"/>
        </w:rPr>
        <w:t xml:space="preserve">exploring </w:t>
      </w:r>
      <w:r>
        <w:rPr>
          <w:rFonts w:ascii="Times New Roman" w:hAnsi="Times New Roman" w:cs="Times New Roman"/>
          <w:sz w:val="24"/>
          <w:szCs w:val="24"/>
        </w:rPr>
        <w:t xml:space="preserve">the </w:t>
      </w:r>
      <w:r w:rsidR="00563C5D">
        <w:rPr>
          <w:rFonts w:ascii="Times New Roman" w:hAnsi="Times New Roman" w:cs="Times New Roman"/>
          <w:sz w:val="24"/>
          <w:szCs w:val="24"/>
        </w:rPr>
        <w:t xml:space="preserve">different </w:t>
      </w:r>
      <w:r>
        <w:rPr>
          <w:rFonts w:ascii="Times New Roman" w:hAnsi="Times New Roman" w:cs="Times New Roman"/>
          <w:sz w:val="24"/>
          <w:szCs w:val="24"/>
        </w:rPr>
        <w:t xml:space="preserve">dimensions of self-efficacy, researchers looked to identify the importance of the sources of self-efficacy. Bandura (1977) proposed that a person’s belief in success at a task is rooted in four sources: mastery experiences, vicarious learning, verbal persuasion, and physiological state. Mastery experiences are derived from personal experiences of success while vicarious learning occurs when </w:t>
      </w:r>
      <w:r w:rsidR="00DA594F">
        <w:rPr>
          <w:rFonts w:ascii="Times New Roman" w:hAnsi="Times New Roman" w:cs="Times New Roman"/>
          <w:sz w:val="24"/>
          <w:szCs w:val="24"/>
        </w:rPr>
        <w:t xml:space="preserve">an </w:t>
      </w:r>
      <w:r>
        <w:rPr>
          <w:rFonts w:ascii="Times New Roman" w:hAnsi="Times New Roman" w:cs="Times New Roman"/>
          <w:sz w:val="24"/>
          <w:szCs w:val="24"/>
        </w:rPr>
        <w:t xml:space="preserve">individual observes the success and failures of others. Social persuasion is impacted by actions of one individual to persuade or </w:t>
      </w:r>
      <w:r>
        <w:rPr>
          <w:rFonts w:ascii="Times New Roman" w:hAnsi="Times New Roman" w:cs="Times New Roman"/>
          <w:sz w:val="24"/>
          <w:szCs w:val="24"/>
        </w:rPr>
        <w:lastRenderedPageBreak/>
        <w:t xml:space="preserve">affect another’s behavior while physiological state is derived from how </w:t>
      </w:r>
      <w:r w:rsidR="00563C5D">
        <w:rPr>
          <w:rFonts w:ascii="Times New Roman" w:hAnsi="Times New Roman" w:cs="Times New Roman"/>
          <w:sz w:val="24"/>
          <w:szCs w:val="24"/>
        </w:rPr>
        <w:t>an individual</w:t>
      </w:r>
      <w:r>
        <w:rPr>
          <w:rFonts w:ascii="Times New Roman" w:hAnsi="Times New Roman" w:cs="Times New Roman"/>
          <w:sz w:val="24"/>
          <w:szCs w:val="24"/>
        </w:rPr>
        <w:t xml:space="preserve"> feels after completing a task.</w:t>
      </w:r>
    </w:p>
    <w:p w14:paraId="09A6849A" w14:textId="6E4702DC" w:rsidR="008D292F" w:rsidRPr="00AD36D9" w:rsidRDefault="008D292F" w:rsidP="00BA4A2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Bandura (1977) claimed that of the four sources of self-efficacy, mastery experiences is the most significant contributing factor to an individual’s overall level of self-efficacy. While confirmed by </w:t>
      </w:r>
      <w:r w:rsidRPr="00F45943">
        <w:rPr>
          <w:rFonts w:ascii="Times New Roman" w:hAnsi="Times New Roman" w:cs="Times New Roman"/>
          <w:sz w:val="24"/>
          <w:szCs w:val="24"/>
        </w:rPr>
        <w:t xml:space="preserve">Kiran </w:t>
      </w:r>
      <w:r>
        <w:rPr>
          <w:rFonts w:ascii="Times New Roman" w:hAnsi="Times New Roman" w:cs="Times New Roman"/>
          <w:sz w:val="24"/>
          <w:szCs w:val="24"/>
        </w:rPr>
        <w:t>and Sungur (</w:t>
      </w:r>
      <w:r w:rsidRPr="00F45943">
        <w:rPr>
          <w:rFonts w:ascii="Times New Roman" w:hAnsi="Times New Roman" w:cs="Times New Roman"/>
          <w:sz w:val="24"/>
          <w:szCs w:val="24"/>
        </w:rPr>
        <w:t>2012</w:t>
      </w:r>
      <w:r>
        <w:rPr>
          <w:rFonts w:ascii="Times New Roman" w:hAnsi="Times New Roman" w:cs="Times New Roman"/>
          <w:sz w:val="24"/>
          <w:szCs w:val="24"/>
        </w:rPr>
        <w:t xml:space="preserve">), the significance of </w:t>
      </w:r>
      <w:r w:rsidR="00303531">
        <w:rPr>
          <w:rFonts w:ascii="Times New Roman" w:hAnsi="Times New Roman" w:cs="Times New Roman"/>
          <w:sz w:val="24"/>
          <w:szCs w:val="24"/>
        </w:rPr>
        <w:t xml:space="preserve">Bandura’s four sources of self-efficacy </w:t>
      </w:r>
      <w:r w:rsidR="00DA594F">
        <w:rPr>
          <w:rFonts w:ascii="Times New Roman" w:hAnsi="Times New Roman" w:cs="Times New Roman"/>
          <w:sz w:val="24"/>
          <w:szCs w:val="24"/>
        </w:rPr>
        <w:t xml:space="preserve">has </w:t>
      </w:r>
      <w:r>
        <w:rPr>
          <w:rFonts w:ascii="Times New Roman" w:hAnsi="Times New Roman" w:cs="Times New Roman"/>
          <w:sz w:val="24"/>
          <w:szCs w:val="24"/>
        </w:rPr>
        <w:t>been mixed in past research. In qualitative interviews by Zeldin et al. (2000</w:t>
      </w:r>
      <w:r w:rsidR="004313CF">
        <w:rPr>
          <w:rFonts w:ascii="Times New Roman" w:hAnsi="Times New Roman" w:cs="Times New Roman"/>
          <w:sz w:val="24"/>
          <w:szCs w:val="24"/>
        </w:rPr>
        <w:t>,</w:t>
      </w:r>
      <w:r>
        <w:rPr>
          <w:rFonts w:ascii="Times New Roman" w:hAnsi="Times New Roman" w:cs="Times New Roman"/>
          <w:sz w:val="24"/>
          <w:szCs w:val="24"/>
        </w:rPr>
        <w:t xml:space="preserve"> 2008)</w:t>
      </w:r>
      <w:r w:rsidR="004313CF">
        <w:rPr>
          <w:rFonts w:ascii="Times New Roman" w:hAnsi="Times New Roman" w:cs="Times New Roman"/>
          <w:sz w:val="24"/>
          <w:szCs w:val="24"/>
        </w:rPr>
        <w:t>,</w:t>
      </w:r>
      <w:r>
        <w:rPr>
          <w:rFonts w:ascii="Times New Roman" w:hAnsi="Times New Roman" w:cs="Times New Roman"/>
          <w:sz w:val="24"/>
          <w:szCs w:val="24"/>
        </w:rPr>
        <w:t xml:space="preserve"> men </w:t>
      </w:r>
      <w:r w:rsidR="00303531">
        <w:rPr>
          <w:rFonts w:ascii="Times New Roman" w:hAnsi="Times New Roman" w:cs="Times New Roman"/>
          <w:sz w:val="24"/>
          <w:szCs w:val="24"/>
        </w:rPr>
        <w:t>dr</w:t>
      </w:r>
      <w:r w:rsidR="00E13490">
        <w:rPr>
          <w:rFonts w:ascii="Times New Roman" w:hAnsi="Times New Roman" w:cs="Times New Roman"/>
          <w:sz w:val="24"/>
          <w:szCs w:val="24"/>
        </w:rPr>
        <w:t>e</w:t>
      </w:r>
      <w:r w:rsidR="00303531">
        <w:rPr>
          <w:rFonts w:ascii="Times New Roman" w:hAnsi="Times New Roman" w:cs="Times New Roman"/>
          <w:sz w:val="24"/>
          <w:szCs w:val="24"/>
        </w:rPr>
        <w:t xml:space="preserve">w upon </w:t>
      </w:r>
      <w:r>
        <w:rPr>
          <w:rFonts w:ascii="Times New Roman" w:hAnsi="Times New Roman" w:cs="Times New Roman"/>
          <w:sz w:val="24"/>
          <w:szCs w:val="24"/>
        </w:rPr>
        <w:t>mastery experience as the primary source of the self-efficacy in STEM careers whereas women drew mostly on social persuasion. These results coincide with Lindstrom and Sharma</w:t>
      </w:r>
      <w:r w:rsidR="008E3300">
        <w:rPr>
          <w:rFonts w:ascii="Times New Roman" w:hAnsi="Times New Roman" w:cs="Times New Roman"/>
          <w:sz w:val="24"/>
          <w:szCs w:val="24"/>
        </w:rPr>
        <w:t>’s research</w:t>
      </w:r>
      <w:r>
        <w:rPr>
          <w:rFonts w:ascii="Times New Roman" w:hAnsi="Times New Roman" w:cs="Times New Roman"/>
          <w:sz w:val="24"/>
          <w:szCs w:val="24"/>
        </w:rPr>
        <w:t xml:space="preserve"> (2011)</w:t>
      </w:r>
      <w:r w:rsidR="008E3300">
        <w:rPr>
          <w:rFonts w:ascii="Times New Roman" w:hAnsi="Times New Roman" w:cs="Times New Roman"/>
          <w:sz w:val="24"/>
          <w:szCs w:val="24"/>
        </w:rPr>
        <w:t xml:space="preserve">—they </w:t>
      </w:r>
      <w:r>
        <w:rPr>
          <w:rFonts w:ascii="Times New Roman" w:hAnsi="Times New Roman" w:cs="Times New Roman"/>
          <w:sz w:val="24"/>
          <w:szCs w:val="24"/>
        </w:rPr>
        <w:t xml:space="preserve">found that women are more receptive to feedback which in turn moderates their level of self-efficacy. Coyle (2001) also employed semi-structured interviews in a similar fashion to Zeldin et al. and found social persuasion to be impactful on women’s sense of math career self-efficacy. However, vicarious experiences were also significant to </w:t>
      </w:r>
      <w:r w:rsidR="008E3300">
        <w:rPr>
          <w:rFonts w:ascii="Times New Roman" w:hAnsi="Times New Roman" w:cs="Times New Roman"/>
          <w:sz w:val="24"/>
          <w:szCs w:val="24"/>
        </w:rPr>
        <w:t xml:space="preserve">women’s </w:t>
      </w:r>
      <w:r>
        <w:rPr>
          <w:rFonts w:ascii="Times New Roman" w:hAnsi="Times New Roman" w:cs="Times New Roman"/>
          <w:sz w:val="24"/>
          <w:szCs w:val="24"/>
        </w:rPr>
        <w:t xml:space="preserve">math self-efficacy (Coyle, 2001). Other research has indicated yet another source of self-efficacy as most significant to women in STEM contexts, physiological state (Kiran </w:t>
      </w:r>
      <w:r w:rsidR="0016387C">
        <w:rPr>
          <w:rFonts w:ascii="Times New Roman" w:hAnsi="Times New Roman" w:cs="Times New Roman"/>
          <w:sz w:val="24"/>
          <w:szCs w:val="24"/>
        </w:rPr>
        <w:t xml:space="preserve">&amp; </w:t>
      </w:r>
      <w:r>
        <w:rPr>
          <w:rFonts w:ascii="Times New Roman" w:hAnsi="Times New Roman" w:cs="Times New Roman"/>
          <w:sz w:val="24"/>
          <w:szCs w:val="24"/>
        </w:rPr>
        <w:t xml:space="preserve">Sungur, 2011). While there is agreement </w:t>
      </w:r>
      <w:r w:rsidR="00575DEC">
        <w:rPr>
          <w:rFonts w:ascii="Times New Roman" w:hAnsi="Times New Roman" w:cs="Times New Roman"/>
          <w:sz w:val="24"/>
          <w:szCs w:val="24"/>
        </w:rPr>
        <w:t xml:space="preserve">in research </w:t>
      </w:r>
      <w:r>
        <w:rPr>
          <w:rFonts w:ascii="Times New Roman" w:hAnsi="Times New Roman" w:cs="Times New Roman"/>
          <w:sz w:val="24"/>
          <w:szCs w:val="24"/>
        </w:rPr>
        <w:t xml:space="preserve">that self-efficacy </w:t>
      </w:r>
      <w:r w:rsidR="00DA594F">
        <w:rPr>
          <w:rFonts w:ascii="Times New Roman" w:hAnsi="Times New Roman" w:cs="Times New Roman"/>
          <w:sz w:val="24"/>
          <w:szCs w:val="24"/>
        </w:rPr>
        <w:t>has a strong connection</w:t>
      </w:r>
      <w:r>
        <w:rPr>
          <w:rFonts w:ascii="Times New Roman" w:hAnsi="Times New Roman" w:cs="Times New Roman"/>
          <w:sz w:val="24"/>
          <w:szCs w:val="24"/>
        </w:rPr>
        <w:t xml:space="preserve"> to STEM interest, there does not appear to be a consensus on the most impactful source of self-efficacy for both men and women. </w:t>
      </w:r>
    </w:p>
    <w:p w14:paraId="441D43D3" w14:textId="77777777" w:rsidR="008D292F" w:rsidRPr="00AD36D9" w:rsidRDefault="008D292F" w:rsidP="00BA4A2D">
      <w:pPr>
        <w:widowControl w:val="0"/>
        <w:spacing w:after="0" w:line="480" w:lineRule="auto"/>
        <w:rPr>
          <w:rFonts w:ascii="Times New Roman" w:hAnsi="Times New Roman" w:cs="Times New Roman"/>
          <w:b/>
          <w:sz w:val="24"/>
          <w:szCs w:val="24"/>
        </w:rPr>
      </w:pPr>
      <w:r w:rsidRPr="00AD36D9">
        <w:rPr>
          <w:rFonts w:ascii="Times New Roman" w:hAnsi="Times New Roman" w:cs="Times New Roman"/>
          <w:b/>
          <w:sz w:val="24"/>
          <w:szCs w:val="24"/>
        </w:rPr>
        <w:t>Summary</w:t>
      </w:r>
      <w:r>
        <w:rPr>
          <w:rFonts w:ascii="Times New Roman" w:hAnsi="Times New Roman" w:cs="Times New Roman"/>
          <w:b/>
          <w:sz w:val="24"/>
          <w:szCs w:val="24"/>
        </w:rPr>
        <w:t xml:space="preserve"> and Integration of Research</w:t>
      </w:r>
    </w:p>
    <w:p w14:paraId="31BFBD83" w14:textId="33BA39EA" w:rsidR="008D292F" w:rsidRDefault="008D292F" w:rsidP="00BA4A2D">
      <w:pPr>
        <w:pStyle w:val="NoSpacing"/>
        <w:widowControl w:val="0"/>
        <w:spacing w:line="480" w:lineRule="auto"/>
        <w:rPr>
          <w:rFonts w:ascii="Times New Roman" w:hAnsi="Times New Roman" w:cs="Times New Roman"/>
          <w:sz w:val="24"/>
          <w:szCs w:val="24"/>
        </w:rPr>
      </w:pPr>
      <w:r w:rsidRPr="00AD36D9">
        <w:rPr>
          <w:rFonts w:ascii="Times New Roman" w:hAnsi="Times New Roman" w:cs="Times New Roman"/>
          <w:sz w:val="24"/>
          <w:szCs w:val="24"/>
        </w:rPr>
        <w:tab/>
      </w:r>
      <w:r>
        <w:rPr>
          <w:rFonts w:ascii="Times New Roman" w:hAnsi="Times New Roman" w:cs="Times New Roman"/>
          <w:sz w:val="24"/>
          <w:szCs w:val="24"/>
        </w:rPr>
        <w:t xml:space="preserve">Career options evolve with technological advancement. Growing STEM career pathways in data management and artificial intelligence present an opportunity for today’s young workforce (Neary et al., 2018). </w:t>
      </w:r>
      <w:r w:rsidR="00DA594F">
        <w:rPr>
          <w:rFonts w:ascii="Times New Roman" w:hAnsi="Times New Roman" w:cs="Times New Roman"/>
          <w:sz w:val="24"/>
          <w:szCs w:val="24"/>
        </w:rPr>
        <w:t>As indicated by enrollment patterns, w</w:t>
      </w:r>
      <w:r>
        <w:rPr>
          <w:rFonts w:ascii="Times New Roman" w:hAnsi="Times New Roman" w:cs="Times New Roman"/>
          <w:sz w:val="24"/>
          <w:szCs w:val="24"/>
        </w:rPr>
        <w:t>omen are underrepresented in science and engineering careers, higher education STEM majors, and in high school STEM pathways</w:t>
      </w:r>
      <w:r w:rsidR="00DA594F">
        <w:rPr>
          <w:rFonts w:ascii="Times New Roman" w:hAnsi="Times New Roman" w:cs="Times New Roman"/>
          <w:sz w:val="24"/>
          <w:szCs w:val="24"/>
        </w:rPr>
        <w:t xml:space="preserve"> </w:t>
      </w:r>
      <w:r>
        <w:rPr>
          <w:rFonts w:ascii="Times New Roman" w:hAnsi="Times New Roman" w:cs="Times New Roman"/>
          <w:sz w:val="24"/>
          <w:szCs w:val="24"/>
        </w:rPr>
        <w:t>(Kennedy et al., 2014; Moore et al., 2013; National Science Board, 2020).</w:t>
      </w:r>
      <w:r w:rsidR="00AD0F28">
        <w:rPr>
          <w:rFonts w:ascii="Times New Roman" w:hAnsi="Times New Roman" w:cs="Times New Roman"/>
          <w:sz w:val="24"/>
          <w:szCs w:val="24"/>
        </w:rPr>
        <w:t xml:space="preserve"> </w:t>
      </w:r>
      <w:r>
        <w:rPr>
          <w:rFonts w:ascii="Times New Roman" w:hAnsi="Times New Roman" w:cs="Times New Roman"/>
          <w:sz w:val="24"/>
          <w:szCs w:val="24"/>
        </w:rPr>
        <w:t xml:space="preserve">The </w:t>
      </w:r>
      <w:r>
        <w:rPr>
          <w:rFonts w:ascii="Times New Roman" w:hAnsi="Times New Roman" w:cs="Times New Roman"/>
          <w:sz w:val="24"/>
          <w:szCs w:val="24"/>
        </w:rPr>
        <w:lastRenderedPageBreak/>
        <w:t xml:space="preserve">decisions of women </w:t>
      </w:r>
      <w:r w:rsidR="00DA5203">
        <w:rPr>
          <w:rFonts w:ascii="Times New Roman" w:hAnsi="Times New Roman" w:cs="Times New Roman"/>
          <w:sz w:val="24"/>
          <w:szCs w:val="24"/>
        </w:rPr>
        <w:t xml:space="preserve">along STEM career pathways </w:t>
      </w:r>
      <w:r>
        <w:rPr>
          <w:rFonts w:ascii="Times New Roman" w:hAnsi="Times New Roman" w:cs="Times New Roman"/>
          <w:sz w:val="24"/>
          <w:szCs w:val="24"/>
        </w:rPr>
        <w:t>are influenced by both external and internal factors. Sadler et al. (2014) found a critical decision</w:t>
      </w:r>
      <w:r w:rsidR="00AD0F28">
        <w:rPr>
          <w:rFonts w:ascii="Times New Roman" w:hAnsi="Times New Roman" w:cs="Times New Roman"/>
          <w:sz w:val="24"/>
          <w:szCs w:val="24"/>
        </w:rPr>
        <w:t>-</w:t>
      </w:r>
      <w:r>
        <w:rPr>
          <w:rFonts w:ascii="Times New Roman" w:hAnsi="Times New Roman" w:cs="Times New Roman"/>
          <w:sz w:val="24"/>
          <w:szCs w:val="24"/>
        </w:rPr>
        <w:t xml:space="preserve">making moment for women in high school and its effect on future STEM career pathways. This pivotal moment is when a student chooses whether to take a second year of high school physics. While the moment of importance has been identified, research is lacking on what should be done to facilitate and support women in their choice to take a second year of high school physics. Sawtelle (2011) began to address this gap in research by studying the </w:t>
      </w:r>
      <w:r w:rsidR="00AD0F28">
        <w:rPr>
          <w:rFonts w:ascii="Times New Roman" w:hAnsi="Times New Roman" w:cs="Times New Roman"/>
          <w:sz w:val="24"/>
          <w:szCs w:val="24"/>
        </w:rPr>
        <w:t>decision-</w:t>
      </w:r>
      <w:r>
        <w:rPr>
          <w:rFonts w:ascii="Times New Roman" w:hAnsi="Times New Roman" w:cs="Times New Roman"/>
          <w:sz w:val="24"/>
          <w:szCs w:val="24"/>
        </w:rPr>
        <w:t xml:space="preserve">making process of women in college level physics programs. </w:t>
      </w:r>
      <w:r w:rsidR="00495F68">
        <w:rPr>
          <w:rFonts w:ascii="Times New Roman" w:hAnsi="Times New Roman" w:cs="Times New Roman"/>
          <w:sz w:val="24"/>
          <w:szCs w:val="24"/>
        </w:rPr>
        <w:t>Sawtell</w:t>
      </w:r>
      <w:r w:rsidR="0092514D">
        <w:rPr>
          <w:rFonts w:ascii="Times New Roman" w:hAnsi="Times New Roman" w:cs="Times New Roman"/>
          <w:sz w:val="24"/>
          <w:szCs w:val="24"/>
        </w:rPr>
        <w:t>e</w:t>
      </w:r>
      <w:r w:rsidR="00AD0F28">
        <w:rPr>
          <w:rFonts w:ascii="Times New Roman" w:hAnsi="Times New Roman" w:cs="Times New Roman"/>
          <w:sz w:val="24"/>
          <w:szCs w:val="24"/>
        </w:rPr>
        <w:t xml:space="preserve"> </w:t>
      </w:r>
      <w:r w:rsidR="00837830">
        <w:rPr>
          <w:rFonts w:ascii="Times New Roman" w:hAnsi="Times New Roman" w:cs="Times New Roman"/>
          <w:sz w:val="24"/>
          <w:szCs w:val="24"/>
        </w:rPr>
        <w:t xml:space="preserve">sought </w:t>
      </w:r>
      <w:r w:rsidR="00AD0F28">
        <w:rPr>
          <w:rFonts w:ascii="Times New Roman" w:hAnsi="Times New Roman" w:cs="Times New Roman"/>
          <w:sz w:val="24"/>
          <w:szCs w:val="24"/>
        </w:rPr>
        <w:t xml:space="preserve">to address a gap that currently exists in the field for how this decision-making process impacts younger students in the high school setting. </w:t>
      </w:r>
    </w:p>
    <w:p w14:paraId="43BBD94D" w14:textId="21D49599" w:rsidR="008D292F" w:rsidRDefault="008D292F" w:rsidP="0092514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theoretical foundations of this study were chosen to form a lens from which to view the decision</w:t>
      </w:r>
      <w:r w:rsidR="00AD0F28">
        <w:rPr>
          <w:rFonts w:ascii="Times New Roman" w:hAnsi="Times New Roman" w:cs="Times New Roman"/>
          <w:sz w:val="24"/>
          <w:szCs w:val="24"/>
        </w:rPr>
        <w:t>-</w:t>
      </w:r>
      <w:r>
        <w:rPr>
          <w:rFonts w:ascii="Times New Roman" w:hAnsi="Times New Roman" w:cs="Times New Roman"/>
          <w:sz w:val="24"/>
          <w:szCs w:val="24"/>
        </w:rPr>
        <w:t>making process of high school students. The two theories that comprise this framework</w:t>
      </w:r>
      <w:r w:rsidR="0092514D">
        <w:rPr>
          <w:rFonts w:ascii="Times New Roman" w:hAnsi="Times New Roman" w:cs="Times New Roman"/>
          <w:sz w:val="24"/>
          <w:szCs w:val="24"/>
        </w:rPr>
        <w:t>—</w:t>
      </w:r>
      <w:r w:rsidR="008E3300">
        <w:rPr>
          <w:rFonts w:ascii="Times New Roman" w:hAnsi="Times New Roman" w:cs="Times New Roman"/>
          <w:sz w:val="24"/>
          <w:szCs w:val="24"/>
        </w:rPr>
        <w:t>s</w:t>
      </w:r>
      <w:r>
        <w:rPr>
          <w:rFonts w:ascii="Times New Roman" w:hAnsi="Times New Roman" w:cs="Times New Roman"/>
          <w:sz w:val="24"/>
          <w:szCs w:val="24"/>
        </w:rPr>
        <w:t xml:space="preserve">elf-efficacy and </w:t>
      </w:r>
      <w:r w:rsidR="008E3300">
        <w:rPr>
          <w:rFonts w:ascii="Times New Roman" w:hAnsi="Times New Roman" w:cs="Times New Roman"/>
          <w:sz w:val="24"/>
          <w:szCs w:val="24"/>
        </w:rPr>
        <w:t>s</w:t>
      </w:r>
      <w:r>
        <w:rPr>
          <w:rFonts w:ascii="Times New Roman" w:hAnsi="Times New Roman" w:cs="Times New Roman"/>
          <w:sz w:val="24"/>
          <w:szCs w:val="24"/>
        </w:rPr>
        <w:t xml:space="preserve">ocial </w:t>
      </w:r>
      <w:r w:rsidR="008E3300">
        <w:rPr>
          <w:rFonts w:ascii="Times New Roman" w:hAnsi="Times New Roman" w:cs="Times New Roman"/>
          <w:sz w:val="24"/>
          <w:szCs w:val="24"/>
        </w:rPr>
        <w:t>c</w:t>
      </w:r>
      <w:r>
        <w:rPr>
          <w:rFonts w:ascii="Times New Roman" w:hAnsi="Times New Roman" w:cs="Times New Roman"/>
          <w:sz w:val="24"/>
          <w:szCs w:val="24"/>
        </w:rPr>
        <w:t xml:space="preserve">ognitive </w:t>
      </w:r>
      <w:r w:rsidR="008E3300">
        <w:rPr>
          <w:rFonts w:ascii="Times New Roman" w:hAnsi="Times New Roman" w:cs="Times New Roman"/>
          <w:sz w:val="24"/>
          <w:szCs w:val="24"/>
        </w:rPr>
        <w:t>t</w:t>
      </w:r>
      <w:r>
        <w:rPr>
          <w:rFonts w:ascii="Times New Roman" w:hAnsi="Times New Roman" w:cs="Times New Roman"/>
          <w:sz w:val="24"/>
          <w:szCs w:val="24"/>
        </w:rPr>
        <w:t>heory</w:t>
      </w:r>
      <w:r w:rsidR="0092514D">
        <w:rPr>
          <w:rFonts w:ascii="Times New Roman" w:hAnsi="Times New Roman" w:cs="Times New Roman"/>
          <w:sz w:val="24"/>
          <w:szCs w:val="24"/>
        </w:rPr>
        <w:t>—</w:t>
      </w:r>
      <w:r>
        <w:rPr>
          <w:rFonts w:ascii="Times New Roman" w:hAnsi="Times New Roman" w:cs="Times New Roman"/>
          <w:sz w:val="24"/>
          <w:szCs w:val="24"/>
        </w:rPr>
        <w:t>shed light on how experiences guide motivation and effort in the face of difficulty (Bandura, 1977; Bembenutty, 2007). Specific strategies utilized by teachers during this critical point in student</w:t>
      </w:r>
      <w:r w:rsidR="002F530C">
        <w:rPr>
          <w:rFonts w:ascii="Times New Roman" w:hAnsi="Times New Roman" w:cs="Times New Roman"/>
          <w:sz w:val="24"/>
          <w:szCs w:val="24"/>
        </w:rPr>
        <w:t>s</w:t>
      </w:r>
      <w:r>
        <w:rPr>
          <w:rFonts w:ascii="Times New Roman" w:hAnsi="Times New Roman" w:cs="Times New Roman"/>
          <w:sz w:val="24"/>
          <w:szCs w:val="24"/>
        </w:rPr>
        <w:t>’ STEM career trajectory may need to be tailored to different genders.</w:t>
      </w:r>
      <w:r w:rsidR="00AD0F28">
        <w:rPr>
          <w:rFonts w:ascii="Times New Roman" w:hAnsi="Times New Roman" w:cs="Times New Roman"/>
          <w:sz w:val="24"/>
          <w:szCs w:val="24"/>
        </w:rPr>
        <w:t xml:space="preserve"> As societal expectations and gender are linked, it is challenging to isolate and draw conclusions on the singular variable of gender.</w:t>
      </w:r>
      <w:r>
        <w:rPr>
          <w:rFonts w:ascii="Times New Roman" w:hAnsi="Times New Roman" w:cs="Times New Roman"/>
          <w:sz w:val="24"/>
          <w:szCs w:val="24"/>
        </w:rPr>
        <w:t xml:space="preserve"> Discussion of </w:t>
      </w:r>
      <w:r w:rsidR="00AD0F28">
        <w:rPr>
          <w:rFonts w:ascii="Times New Roman" w:hAnsi="Times New Roman" w:cs="Times New Roman"/>
          <w:sz w:val="24"/>
          <w:szCs w:val="24"/>
        </w:rPr>
        <w:t xml:space="preserve">the findings from this study </w:t>
      </w:r>
      <w:r w:rsidR="00837830">
        <w:rPr>
          <w:rFonts w:ascii="Times New Roman" w:hAnsi="Times New Roman" w:cs="Times New Roman"/>
          <w:sz w:val="24"/>
          <w:szCs w:val="24"/>
        </w:rPr>
        <w:t xml:space="preserve">included </w:t>
      </w:r>
      <w:r w:rsidR="00AD0F28">
        <w:rPr>
          <w:rFonts w:ascii="Times New Roman" w:hAnsi="Times New Roman" w:cs="Times New Roman"/>
          <w:sz w:val="24"/>
          <w:szCs w:val="24"/>
        </w:rPr>
        <w:t xml:space="preserve">a holistic understanding of the participants as both women and physics students. It </w:t>
      </w:r>
      <w:r w:rsidR="00837830">
        <w:rPr>
          <w:rFonts w:ascii="Times New Roman" w:hAnsi="Times New Roman" w:cs="Times New Roman"/>
          <w:sz w:val="24"/>
          <w:szCs w:val="24"/>
        </w:rPr>
        <w:t xml:space="preserve">did </w:t>
      </w:r>
      <w:r w:rsidR="00AD0F28">
        <w:rPr>
          <w:rFonts w:ascii="Times New Roman" w:hAnsi="Times New Roman" w:cs="Times New Roman"/>
          <w:sz w:val="24"/>
          <w:szCs w:val="24"/>
        </w:rPr>
        <w:t xml:space="preserve">not isolate them as either one or the other. </w:t>
      </w:r>
      <w:r>
        <w:rPr>
          <w:rFonts w:ascii="Times New Roman" w:hAnsi="Times New Roman" w:cs="Times New Roman"/>
          <w:sz w:val="24"/>
          <w:szCs w:val="24"/>
        </w:rPr>
        <w:t xml:space="preserve">Chapter three </w:t>
      </w:r>
      <w:r w:rsidRPr="00AD36D9">
        <w:rPr>
          <w:rFonts w:ascii="Times New Roman" w:hAnsi="Times New Roman" w:cs="Times New Roman"/>
          <w:sz w:val="24"/>
          <w:szCs w:val="24"/>
        </w:rPr>
        <w:t xml:space="preserve">describes the quantitative research methodology to explore the connection between level of self-efficacy and future physics course enrollment. Chapter 4 will detail how the data </w:t>
      </w:r>
      <w:r w:rsidR="00AF5110">
        <w:rPr>
          <w:rFonts w:ascii="Times New Roman" w:hAnsi="Times New Roman" w:cs="Times New Roman"/>
          <w:sz w:val="24"/>
          <w:szCs w:val="24"/>
        </w:rPr>
        <w:t>were</w:t>
      </w:r>
      <w:r w:rsidR="00AF5110"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analyzed and present the results. Chapter 5 will provide a discussion on the implication of these results on future practices of educators and how the results add to the existing body of </w:t>
      </w:r>
      <w:r>
        <w:rPr>
          <w:rFonts w:ascii="Times New Roman" w:hAnsi="Times New Roman" w:cs="Times New Roman"/>
          <w:sz w:val="24"/>
          <w:szCs w:val="24"/>
        </w:rPr>
        <w:t xml:space="preserve">this </w:t>
      </w:r>
      <w:r w:rsidRPr="00AD36D9">
        <w:rPr>
          <w:rFonts w:ascii="Times New Roman" w:hAnsi="Times New Roman" w:cs="Times New Roman"/>
          <w:sz w:val="24"/>
          <w:szCs w:val="24"/>
        </w:rPr>
        <w:t xml:space="preserve">research. </w:t>
      </w:r>
      <w:r>
        <w:rPr>
          <w:rFonts w:ascii="Times New Roman" w:hAnsi="Times New Roman" w:cs="Times New Roman"/>
          <w:sz w:val="24"/>
          <w:szCs w:val="24"/>
        </w:rPr>
        <w:br w:type="page"/>
      </w:r>
    </w:p>
    <w:p w14:paraId="426163EA" w14:textId="10C72AA6" w:rsidR="00FB41AA" w:rsidRPr="00AD36D9" w:rsidRDefault="00FB41AA" w:rsidP="00BA4A2D">
      <w:pPr>
        <w:pStyle w:val="Heading1"/>
        <w:jc w:val="center"/>
      </w:pPr>
      <w:bookmarkStart w:id="16" w:name="_Toc117501915"/>
      <w:r w:rsidRPr="00AD36D9">
        <w:lastRenderedPageBreak/>
        <w:t>Chapter 3: Methodology</w:t>
      </w:r>
      <w:bookmarkEnd w:id="16"/>
    </w:p>
    <w:p w14:paraId="2D42E8BE" w14:textId="77777777" w:rsidR="00FB41AA" w:rsidRPr="00AD36D9" w:rsidRDefault="00FB41AA" w:rsidP="003F7FE4">
      <w:pPr>
        <w:pStyle w:val="Heading2"/>
      </w:pPr>
      <w:bookmarkStart w:id="17" w:name="_Toc349720636"/>
      <w:bookmarkStart w:id="18" w:name="_Toc350241680"/>
      <w:bookmarkStart w:id="19" w:name="_Toc351528701"/>
      <w:bookmarkStart w:id="20" w:name="_Toc117501916"/>
      <w:r w:rsidRPr="00AD36D9">
        <w:t>Introduction</w:t>
      </w:r>
      <w:bookmarkEnd w:id="17"/>
      <w:bookmarkEnd w:id="18"/>
      <w:bookmarkEnd w:id="19"/>
      <w:bookmarkEnd w:id="20"/>
    </w:p>
    <w:p w14:paraId="1F4A2332" w14:textId="21C63D6A" w:rsidR="00FB41AA" w:rsidRPr="00AD36D9" w:rsidRDefault="00FB41AA" w:rsidP="00BA4A2D">
      <w:pPr>
        <w:widowControl w:val="0"/>
        <w:spacing w:after="0" w:line="480" w:lineRule="auto"/>
        <w:ind w:firstLine="720"/>
        <w:rPr>
          <w:rFonts w:ascii="Times New Roman" w:hAnsi="Times New Roman" w:cs="Times New Roman"/>
          <w:sz w:val="24"/>
          <w:szCs w:val="24"/>
        </w:rPr>
      </w:pPr>
      <w:r w:rsidRPr="00AD36D9">
        <w:rPr>
          <w:rFonts w:ascii="Times New Roman" w:hAnsi="Times New Roman" w:cs="Times New Roman"/>
          <w:sz w:val="24"/>
          <w:szCs w:val="24"/>
        </w:rPr>
        <w:t xml:space="preserve">This study </w:t>
      </w:r>
      <w:r w:rsidR="00837830">
        <w:rPr>
          <w:rFonts w:ascii="Times New Roman" w:hAnsi="Times New Roman" w:cs="Times New Roman"/>
          <w:sz w:val="24"/>
          <w:szCs w:val="24"/>
        </w:rPr>
        <w:t>sought</w:t>
      </w:r>
      <w:r w:rsidR="00837830"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to </w:t>
      </w:r>
      <w:r w:rsidR="00531B3B">
        <w:rPr>
          <w:rFonts w:ascii="Times New Roman" w:hAnsi="Times New Roman" w:cs="Times New Roman"/>
          <w:sz w:val="24"/>
          <w:szCs w:val="24"/>
        </w:rPr>
        <w:t xml:space="preserve">examine </w:t>
      </w:r>
      <w:r w:rsidR="001D4E85" w:rsidRPr="00AD36D9">
        <w:rPr>
          <w:rFonts w:ascii="Times New Roman" w:hAnsi="Times New Roman" w:cs="Times New Roman"/>
          <w:sz w:val="24"/>
          <w:szCs w:val="24"/>
        </w:rPr>
        <w:t>the role of</w:t>
      </w:r>
      <w:r w:rsidRPr="00AD36D9">
        <w:rPr>
          <w:rFonts w:ascii="Times New Roman" w:hAnsi="Times New Roman" w:cs="Times New Roman"/>
          <w:sz w:val="24"/>
          <w:szCs w:val="24"/>
        </w:rPr>
        <w:t xml:space="preserve"> self-efficacy </w:t>
      </w:r>
      <w:r w:rsidR="001D4E85" w:rsidRPr="00AD36D9">
        <w:rPr>
          <w:rFonts w:ascii="Times New Roman" w:hAnsi="Times New Roman" w:cs="Times New Roman"/>
          <w:sz w:val="24"/>
          <w:szCs w:val="24"/>
        </w:rPr>
        <w:t xml:space="preserve">in </w:t>
      </w:r>
      <w:r w:rsidRPr="00AD36D9">
        <w:rPr>
          <w:rFonts w:ascii="Times New Roman" w:hAnsi="Times New Roman" w:cs="Times New Roman"/>
          <w:sz w:val="24"/>
          <w:szCs w:val="24"/>
        </w:rPr>
        <w:t>predict</w:t>
      </w:r>
      <w:r w:rsidR="001D4E85" w:rsidRPr="00AD36D9">
        <w:rPr>
          <w:rFonts w:ascii="Times New Roman" w:hAnsi="Times New Roman" w:cs="Times New Roman"/>
          <w:sz w:val="24"/>
          <w:szCs w:val="24"/>
        </w:rPr>
        <w:t>ing</w:t>
      </w:r>
      <w:r w:rsidRPr="00AD36D9">
        <w:rPr>
          <w:rFonts w:ascii="Times New Roman" w:hAnsi="Times New Roman" w:cs="Times New Roman"/>
          <w:sz w:val="24"/>
          <w:szCs w:val="24"/>
        </w:rPr>
        <w:t xml:space="preserve"> the likelihood </w:t>
      </w:r>
      <w:r w:rsidR="001D4E85" w:rsidRPr="00AD36D9">
        <w:rPr>
          <w:rFonts w:ascii="Times New Roman" w:hAnsi="Times New Roman" w:cs="Times New Roman"/>
          <w:sz w:val="24"/>
          <w:szCs w:val="24"/>
        </w:rPr>
        <w:t xml:space="preserve">of </w:t>
      </w:r>
      <w:r w:rsidRPr="00AD36D9">
        <w:rPr>
          <w:rFonts w:ascii="Times New Roman" w:hAnsi="Times New Roman" w:cs="Times New Roman"/>
          <w:sz w:val="24"/>
          <w:szCs w:val="24"/>
        </w:rPr>
        <w:t>women enrolling in a second year of high school physics</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The</w:t>
      </w:r>
      <w:r w:rsidR="0075439D">
        <w:rPr>
          <w:rFonts w:ascii="Times New Roman" w:hAnsi="Times New Roman" w:cs="Times New Roman"/>
          <w:sz w:val="24"/>
          <w:szCs w:val="24"/>
        </w:rPr>
        <w:t>se</w:t>
      </w:r>
      <w:r w:rsidRPr="00AD36D9">
        <w:rPr>
          <w:rFonts w:ascii="Times New Roman" w:hAnsi="Times New Roman" w:cs="Times New Roman"/>
          <w:sz w:val="24"/>
          <w:szCs w:val="24"/>
        </w:rPr>
        <w:t xml:space="preserve"> results </w:t>
      </w:r>
      <w:r w:rsidR="005249D6" w:rsidRPr="00AD36D9">
        <w:rPr>
          <w:rFonts w:ascii="Times New Roman" w:hAnsi="Times New Roman" w:cs="Times New Roman"/>
          <w:sz w:val="24"/>
          <w:szCs w:val="24"/>
        </w:rPr>
        <w:t>contribute</w:t>
      </w:r>
      <w:r w:rsidR="00837830">
        <w:rPr>
          <w:rFonts w:ascii="Times New Roman" w:hAnsi="Times New Roman" w:cs="Times New Roman"/>
          <w:sz w:val="24"/>
          <w:szCs w:val="24"/>
        </w:rPr>
        <w:t>d</w:t>
      </w:r>
      <w:r w:rsidR="005249D6" w:rsidRPr="00AD36D9">
        <w:rPr>
          <w:rFonts w:ascii="Times New Roman" w:hAnsi="Times New Roman" w:cs="Times New Roman"/>
          <w:sz w:val="24"/>
          <w:szCs w:val="24"/>
        </w:rPr>
        <w:t xml:space="preserve"> to better understanding </w:t>
      </w:r>
      <w:r w:rsidR="001D4E85" w:rsidRPr="00AD36D9">
        <w:rPr>
          <w:rFonts w:ascii="Times New Roman" w:hAnsi="Times New Roman" w:cs="Times New Roman"/>
          <w:sz w:val="24"/>
          <w:szCs w:val="24"/>
        </w:rPr>
        <w:t xml:space="preserve">the </w:t>
      </w:r>
      <w:r w:rsidR="005249D6" w:rsidRPr="00AD36D9">
        <w:rPr>
          <w:rFonts w:ascii="Times New Roman" w:hAnsi="Times New Roman" w:cs="Times New Roman"/>
          <w:sz w:val="24"/>
          <w:szCs w:val="24"/>
        </w:rPr>
        <w:t>degree</w:t>
      </w:r>
      <w:r w:rsidR="001D4E85" w:rsidRPr="00AD36D9">
        <w:rPr>
          <w:rFonts w:ascii="Times New Roman" w:hAnsi="Times New Roman" w:cs="Times New Roman"/>
          <w:sz w:val="24"/>
          <w:szCs w:val="24"/>
        </w:rPr>
        <w:t xml:space="preserve"> of</w:t>
      </w:r>
      <w:r w:rsidRPr="00AD36D9">
        <w:rPr>
          <w:rFonts w:ascii="Times New Roman" w:hAnsi="Times New Roman" w:cs="Times New Roman"/>
          <w:sz w:val="24"/>
          <w:szCs w:val="24"/>
        </w:rPr>
        <w:t xml:space="preserve"> importance of student self-efficac</w:t>
      </w:r>
      <w:r w:rsidR="001D4E85" w:rsidRPr="00AD36D9">
        <w:rPr>
          <w:rFonts w:ascii="Times New Roman" w:hAnsi="Times New Roman" w:cs="Times New Roman"/>
          <w:sz w:val="24"/>
          <w:szCs w:val="24"/>
        </w:rPr>
        <w:t>y</w:t>
      </w:r>
      <w:r w:rsidRPr="00AD36D9">
        <w:rPr>
          <w:rFonts w:ascii="Times New Roman" w:hAnsi="Times New Roman" w:cs="Times New Roman"/>
          <w:sz w:val="24"/>
          <w:szCs w:val="24"/>
        </w:rPr>
        <w:t xml:space="preserve"> </w:t>
      </w:r>
      <w:r w:rsidR="008159B8" w:rsidRPr="00AD36D9">
        <w:rPr>
          <w:rFonts w:ascii="Times New Roman" w:hAnsi="Times New Roman" w:cs="Times New Roman"/>
          <w:sz w:val="24"/>
          <w:szCs w:val="24"/>
        </w:rPr>
        <w:t>to</w:t>
      </w:r>
      <w:r w:rsidRPr="00AD36D9">
        <w:rPr>
          <w:rFonts w:ascii="Times New Roman" w:hAnsi="Times New Roman" w:cs="Times New Roman"/>
          <w:sz w:val="24"/>
          <w:szCs w:val="24"/>
        </w:rPr>
        <w:t xml:space="preserve"> increase enrollment in physics by women</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Sadler</w:t>
      </w:r>
      <w:r w:rsidR="001D4E85" w:rsidRPr="00AD36D9">
        <w:rPr>
          <w:rFonts w:ascii="Times New Roman" w:hAnsi="Times New Roman" w:cs="Times New Roman"/>
          <w:sz w:val="24"/>
          <w:szCs w:val="24"/>
        </w:rPr>
        <w:t xml:space="preserve"> et al.</w:t>
      </w:r>
      <w:r w:rsidRPr="00AD36D9">
        <w:rPr>
          <w:rFonts w:ascii="Times New Roman" w:hAnsi="Times New Roman" w:cs="Times New Roman"/>
          <w:sz w:val="24"/>
          <w:szCs w:val="24"/>
        </w:rPr>
        <w:t xml:space="preserve"> (2014) have already demonstrated that students who take a second year of high school physics are more likely to pursue a career in a STEM field</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Women are underrepresented in STEM fields, providing a need for researchers to explore how the experience of women affect career trajectories. The results </w:t>
      </w:r>
      <w:r w:rsidR="0075439D">
        <w:rPr>
          <w:rFonts w:ascii="Times New Roman" w:hAnsi="Times New Roman" w:cs="Times New Roman"/>
          <w:sz w:val="24"/>
          <w:szCs w:val="24"/>
        </w:rPr>
        <w:t>demonstrate</w:t>
      </w:r>
      <w:r w:rsidR="00837830">
        <w:rPr>
          <w:rFonts w:ascii="Times New Roman" w:hAnsi="Times New Roman" w:cs="Times New Roman"/>
          <w:sz w:val="24"/>
          <w:szCs w:val="24"/>
        </w:rPr>
        <w:t>d</w:t>
      </w:r>
      <w:r w:rsidRPr="00AD36D9">
        <w:rPr>
          <w:rFonts w:ascii="Times New Roman" w:hAnsi="Times New Roman" w:cs="Times New Roman"/>
          <w:sz w:val="24"/>
          <w:szCs w:val="24"/>
        </w:rPr>
        <w:t xml:space="preserve"> </w:t>
      </w:r>
      <w:r w:rsidR="0075439D">
        <w:rPr>
          <w:rFonts w:ascii="Times New Roman" w:hAnsi="Times New Roman" w:cs="Times New Roman"/>
          <w:sz w:val="24"/>
          <w:szCs w:val="24"/>
        </w:rPr>
        <w:t>that l</w:t>
      </w:r>
      <w:r w:rsidRPr="00AD36D9">
        <w:rPr>
          <w:rFonts w:ascii="Times New Roman" w:hAnsi="Times New Roman" w:cs="Times New Roman"/>
          <w:sz w:val="24"/>
          <w:szCs w:val="24"/>
        </w:rPr>
        <w:t>evel of self-efficacy is a significant factor in the decision</w:t>
      </w:r>
      <w:r w:rsidR="00342637" w:rsidRPr="00AD36D9">
        <w:rPr>
          <w:rFonts w:ascii="Times New Roman" w:hAnsi="Times New Roman" w:cs="Times New Roman"/>
          <w:sz w:val="24"/>
          <w:szCs w:val="24"/>
        </w:rPr>
        <w:t>-</w:t>
      </w:r>
      <w:r w:rsidRPr="00AD36D9">
        <w:rPr>
          <w:rFonts w:ascii="Times New Roman" w:hAnsi="Times New Roman" w:cs="Times New Roman"/>
          <w:sz w:val="24"/>
          <w:szCs w:val="24"/>
        </w:rPr>
        <w:t>making process to enroll in a second year of high school physics beyond models that rely on physics content knowledge alone</w:t>
      </w:r>
      <w:r w:rsidR="00736F31" w:rsidRPr="00AD36D9">
        <w:rPr>
          <w:rFonts w:ascii="Times New Roman" w:hAnsi="Times New Roman" w:cs="Times New Roman"/>
          <w:sz w:val="24"/>
          <w:szCs w:val="24"/>
        </w:rPr>
        <w:t>.</w:t>
      </w:r>
      <w:r w:rsidRPr="00AD36D9">
        <w:rPr>
          <w:rFonts w:ascii="Times New Roman" w:hAnsi="Times New Roman" w:cs="Times New Roman"/>
          <w:sz w:val="24"/>
          <w:szCs w:val="24"/>
        </w:rPr>
        <w:t xml:space="preserve"> </w:t>
      </w:r>
    </w:p>
    <w:p w14:paraId="7A34FF91" w14:textId="4D2EC56D" w:rsidR="00FB41AA" w:rsidRPr="00AD36D9" w:rsidRDefault="001D4E85" w:rsidP="00BA4A2D">
      <w:pPr>
        <w:widowControl w:val="0"/>
        <w:spacing w:after="0" w:line="480" w:lineRule="auto"/>
        <w:ind w:firstLine="720"/>
        <w:rPr>
          <w:rFonts w:ascii="Times New Roman" w:hAnsi="Times New Roman" w:cs="Times New Roman"/>
          <w:sz w:val="24"/>
          <w:szCs w:val="24"/>
        </w:rPr>
      </w:pPr>
      <w:r w:rsidRPr="00AD36D9">
        <w:rPr>
          <w:rFonts w:ascii="Times New Roman" w:hAnsi="Times New Roman" w:cs="Times New Roman"/>
          <w:sz w:val="24"/>
          <w:szCs w:val="24"/>
        </w:rPr>
        <w:t xml:space="preserve">Chapter 3 will describe the quantitative analysis used to explore the relationship between self-efficacy and enrollment decisions on </w:t>
      </w:r>
      <w:r w:rsidR="008159B8">
        <w:rPr>
          <w:rFonts w:ascii="Times New Roman" w:hAnsi="Times New Roman" w:cs="Times New Roman"/>
          <w:sz w:val="24"/>
          <w:szCs w:val="24"/>
        </w:rPr>
        <w:t>second-year physics</w:t>
      </w:r>
      <w:r w:rsidRPr="00AD36D9">
        <w:rPr>
          <w:rFonts w:ascii="Times New Roman" w:hAnsi="Times New Roman" w:cs="Times New Roman"/>
          <w:sz w:val="24"/>
          <w:szCs w:val="24"/>
        </w:rPr>
        <w:t xml:space="preserve"> courses. </w:t>
      </w:r>
      <w:r w:rsidR="00FB41AA" w:rsidRPr="00AD36D9">
        <w:rPr>
          <w:rFonts w:ascii="Times New Roman" w:hAnsi="Times New Roman" w:cs="Times New Roman"/>
          <w:sz w:val="24"/>
          <w:szCs w:val="24"/>
        </w:rPr>
        <w:t>The population studied, the sample selected, and the instruments used will be discussed</w:t>
      </w:r>
      <w:r w:rsidR="00736F31" w:rsidRPr="00AD36D9">
        <w:rPr>
          <w:rFonts w:ascii="Times New Roman" w:hAnsi="Times New Roman" w:cs="Times New Roman"/>
          <w:sz w:val="24"/>
          <w:szCs w:val="24"/>
        </w:rPr>
        <w:t xml:space="preserve">. </w:t>
      </w:r>
      <w:r w:rsidR="00FB41AA" w:rsidRPr="00AD36D9">
        <w:rPr>
          <w:rFonts w:ascii="Times New Roman" w:hAnsi="Times New Roman" w:cs="Times New Roman"/>
          <w:sz w:val="24"/>
          <w:szCs w:val="24"/>
        </w:rPr>
        <w:t>The validity and reliability of the chosen instruments will be detailed. Next, the data collection procedures and analysis procedures will be explained</w:t>
      </w:r>
      <w:r w:rsidR="00736F31" w:rsidRPr="00AD36D9">
        <w:rPr>
          <w:rFonts w:ascii="Times New Roman" w:hAnsi="Times New Roman" w:cs="Times New Roman"/>
          <w:sz w:val="24"/>
          <w:szCs w:val="24"/>
        </w:rPr>
        <w:t xml:space="preserve">. </w:t>
      </w:r>
      <w:r w:rsidR="00FB41AA" w:rsidRPr="00AD36D9">
        <w:rPr>
          <w:rFonts w:ascii="Times New Roman" w:hAnsi="Times New Roman" w:cs="Times New Roman"/>
          <w:sz w:val="24"/>
          <w:szCs w:val="24"/>
        </w:rPr>
        <w:t>Chapter 3 will then move on to discuss the sources of data in this research study</w:t>
      </w:r>
      <w:r w:rsidR="00736F31" w:rsidRPr="00AD36D9">
        <w:rPr>
          <w:rFonts w:ascii="Times New Roman" w:hAnsi="Times New Roman" w:cs="Times New Roman"/>
          <w:sz w:val="24"/>
          <w:szCs w:val="24"/>
        </w:rPr>
        <w:t xml:space="preserve">. </w:t>
      </w:r>
      <w:r w:rsidR="00FB41AA" w:rsidRPr="00AD36D9">
        <w:rPr>
          <w:rFonts w:ascii="Times New Roman" w:hAnsi="Times New Roman" w:cs="Times New Roman"/>
          <w:sz w:val="24"/>
          <w:szCs w:val="24"/>
        </w:rPr>
        <w:t xml:space="preserve">The validity and reliability of the </w:t>
      </w:r>
      <w:r w:rsidR="005E20AB" w:rsidRPr="00AD36D9">
        <w:rPr>
          <w:rFonts w:ascii="Times New Roman" w:hAnsi="Times New Roman" w:cs="Times New Roman"/>
          <w:sz w:val="24"/>
          <w:szCs w:val="24"/>
        </w:rPr>
        <w:t>Sources of Self-Efficacy in Science Courses</w:t>
      </w:r>
      <w:r w:rsidR="005E20AB">
        <w:rPr>
          <w:rFonts w:ascii="Times New Roman" w:hAnsi="Times New Roman" w:cs="Times New Roman"/>
          <w:color w:val="000000"/>
          <w:sz w:val="24"/>
          <w:szCs w:val="24"/>
          <w:shd w:val="clear" w:color="auto" w:fill="FFFFFF"/>
        </w:rPr>
        <w:t xml:space="preserve"> - </w:t>
      </w:r>
      <w:r w:rsidR="005E20AB" w:rsidRPr="00AD36D9">
        <w:rPr>
          <w:rFonts w:ascii="Times New Roman" w:hAnsi="Times New Roman" w:cs="Times New Roman"/>
          <w:sz w:val="24"/>
          <w:szCs w:val="24"/>
        </w:rPr>
        <w:t xml:space="preserve">Physics </w:t>
      </w:r>
      <w:r w:rsidR="00CB4747">
        <w:rPr>
          <w:rFonts w:ascii="Times New Roman" w:hAnsi="Times New Roman" w:cs="Times New Roman"/>
          <w:sz w:val="24"/>
          <w:szCs w:val="24"/>
        </w:rPr>
        <w:t>(</w:t>
      </w:r>
      <w:r w:rsidR="00FB41AA" w:rsidRPr="00AD36D9">
        <w:rPr>
          <w:rFonts w:ascii="Times New Roman" w:hAnsi="Times New Roman" w:cs="Times New Roman"/>
          <w:sz w:val="24"/>
          <w:szCs w:val="24"/>
        </w:rPr>
        <w:t>SOSESC-P</w:t>
      </w:r>
      <w:r w:rsidR="00CB4747">
        <w:rPr>
          <w:rFonts w:ascii="Times New Roman" w:hAnsi="Times New Roman" w:cs="Times New Roman"/>
          <w:sz w:val="24"/>
          <w:szCs w:val="24"/>
        </w:rPr>
        <w:t>) scale</w:t>
      </w:r>
      <w:r w:rsidR="00FB41AA" w:rsidRPr="00AD36D9">
        <w:rPr>
          <w:rFonts w:ascii="Times New Roman" w:hAnsi="Times New Roman" w:cs="Times New Roman"/>
          <w:sz w:val="24"/>
          <w:szCs w:val="24"/>
        </w:rPr>
        <w:t xml:space="preserve"> will be addressed</w:t>
      </w:r>
      <w:r w:rsidR="0019496E" w:rsidRPr="00AD36D9">
        <w:rPr>
          <w:rFonts w:ascii="Times New Roman" w:hAnsi="Times New Roman" w:cs="Times New Roman"/>
          <w:sz w:val="24"/>
          <w:szCs w:val="24"/>
        </w:rPr>
        <w:t>.</w:t>
      </w:r>
      <w:r w:rsidR="00FB41AA" w:rsidRPr="00AD36D9">
        <w:rPr>
          <w:rFonts w:ascii="Times New Roman" w:hAnsi="Times New Roman" w:cs="Times New Roman"/>
          <w:sz w:val="24"/>
          <w:szCs w:val="24"/>
        </w:rPr>
        <w:t xml:space="preserve"> Finally, the data collection and analysis procedures will be discussed along with ethical considerations and limitations of the study. </w:t>
      </w:r>
    </w:p>
    <w:p w14:paraId="5E3D45AD" w14:textId="77777777" w:rsidR="00FB41AA" w:rsidRPr="00AD36D9" w:rsidRDefault="00FB41AA" w:rsidP="003F7FE4">
      <w:pPr>
        <w:pStyle w:val="Heading2"/>
      </w:pPr>
      <w:bookmarkStart w:id="21" w:name="_Toc349720637"/>
      <w:bookmarkStart w:id="22" w:name="_Toc350241681"/>
      <w:bookmarkStart w:id="23" w:name="_Toc351528702"/>
      <w:bookmarkStart w:id="24" w:name="_Toc117501917"/>
      <w:r w:rsidRPr="00AD36D9">
        <w:t>Statement of the Problem</w:t>
      </w:r>
      <w:bookmarkEnd w:id="21"/>
      <w:bookmarkEnd w:id="22"/>
      <w:bookmarkEnd w:id="23"/>
      <w:bookmarkEnd w:id="24"/>
    </w:p>
    <w:p w14:paraId="7555F1DE" w14:textId="77777777" w:rsidR="009528DB" w:rsidRPr="00AD36D9" w:rsidRDefault="009528DB" w:rsidP="009528DB">
      <w:pPr>
        <w:widowControl w:val="0"/>
        <w:spacing w:after="0" w:line="480" w:lineRule="auto"/>
        <w:ind w:firstLine="720"/>
        <w:rPr>
          <w:rFonts w:ascii="Times New Roman" w:hAnsi="Times New Roman" w:cs="Times New Roman"/>
          <w:sz w:val="24"/>
          <w:szCs w:val="24"/>
        </w:rPr>
      </w:pPr>
      <w:bookmarkStart w:id="25" w:name="_Toc349720638"/>
      <w:bookmarkStart w:id="26" w:name="_Toc350241682"/>
      <w:bookmarkStart w:id="27" w:name="_Toc351528703"/>
      <w:r>
        <w:rPr>
          <w:rFonts w:ascii="Times New Roman" w:hAnsi="Times New Roman" w:cs="Times New Roman"/>
          <w:sz w:val="24"/>
          <w:szCs w:val="24"/>
        </w:rPr>
        <w:t xml:space="preserve">Women disproportionally choose not to pursue physics as a senior in high school. </w:t>
      </w:r>
      <w:r w:rsidRPr="00AD36D9">
        <w:rPr>
          <w:rFonts w:ascii="Times New Roman" w:hAnsi="Times New Roman" w:cs="Times New Roman"/>
          <w:sz w:val="24"/>
          <w:szCs w:val="24"/>
        </w:rPr>
        <w:t xml:space="preserve">This change in representation of women </w:t>
      </w:r>
      <w:r>
        <w:rPr>
          <w:rFonts w:ascii="Times New Roman" w:hAnsi="Times New Roman" w:cs="Times New Roman"/>
          <w:sz w:val="24"/>
          <w:szCs w:val="24"/>
        </w:rPr>
        <w:t>in high school physics</w:t>
      </w:r>
      <w:r w:rsidRPr="00AD36D9">
        <w:rPr>
          <w:rFonts w:ascii="Times New Roman" w:hAnsi="Times New Roman" w:cs="Times New Roman"/>
          <w:sz w:val="24"/>
          <w:szCs w:val="24"/>
        </w:rPr>
        <w:t xml:space="preserve"> can be seen by looking at Advanced Placement </w:t>
      </w:r>
      <w:r>
        <w:rPr>
          <w:rFonts w:ascii="Times New Roman" w:hAnsi="Times New Roman" w:cs="Times New Roman"/>
          <w:sz w:val="24"/>
          <w:szCs w:val="24"/>
        </w:rPr>
        <w:t xml:space="preserve">(AP) </w:t>
      </w:r>
      <w:r w:rsidRPr="00AD36D9">
        <w:rPr>
          <w:rFonts w:ascii="Times New Roman" w:hAnsi="Times New Roman" w:cs="Times New Roman"/>
          <w:sz w:val="24"/>
          <w:szCs w:val="24"/>
        </w:rPr>
        <w:t xml:space="preserve">test data. In 2017, women made up 40% of AP Physics 1 test takers (College </w:t>
      </w:r>
      <w:r w:rsidRPr="00AD36D9">
        <w:rPr>
          <w:rFonts w:ascii="Times New Roman" w:hAnsi="Times New Roman" w:cs="Times New Roman"/>
          <w:sz w:val="24"/>
          <w:szCs w:val="24"/>
        </w:rPr>
        <w:lastRenderedPageBreak/>
        <w:t xml:space="preserve">Board, 2017). </w:t>
      </w:r>
      <w:r>
        <w:rPr>
          <w:rFonts w:ascii="Times New Roman" w:hAnsi="Times New Roman" w:cs="Times New Roman"/>
          <w:sz w:val="24"/>
          <w:szCs w:val="24"/>
        </w:rPr>
        <w:t>AP Physics</w:t>
      </w:r>
      <w:r w:rsidRPr="00AD36D9">
        <w:rPr>
          <w:rFonts w:ascii="Times New Roman" w:hAnsi="Times New Roman" w:cs="Times New Roman"/>
          <w:sz w:val="24"/>
          <w:szCs w:val="24"/>
        </w:rPr>
        <w:t xml:space="preserve"> is an advanced level of introductory physics. The typical second year of advanced high school physics is separated into two semester long courses called AP Physics C</w:t>
      </w:r>
      <w:r>
        <w:rPr>
          <w:rFonts w:ascii="Times New Roman" w:hAnsi="Times New Roman" w:cs="Times New Roman"/>
          <w:sz w:val="24"/>
          <w:szCs w:val="24"/>
        </w:rPr>
        <w:t xml:space="preserve">, which </w:t>
      </w:r>
      <w:r w:rsidRPr="00AD36D9">
        <w:rPr>
          <w:rFonts w:ascii="Times New Roman" w:eastAsiaTheme="minorEastAsia" w:hAnsi="Times New Roman" w:cs="Times New Roman"/>
          <w:bCs/>
          <w:color w:val="000000" w:themeColor="text1"/>
          <w:kern w:val="24"/>
          <w:sz w:val="24"/>
          <w:szCs w:val="24"/>
        </w:rPr>
        <w:t xml:space="preserve">is split into two separate semester courses with women making up 28.3% of the enrollment in mechanics and 24.3% in the electricity and magnetism course (College Board, 2017). </w:t>
      </w:r>
      <w:r>
        <w:rPr>
          <w:rFonts w:ascii="Times New Roman" w:eastAsiaTheme="minorEastAsia" w:hAnsi="Times New Roman" w:cs="Times New Roman"/>
          <w:bCs/>
          <w:color w:val="000000" w:themeColor="text1"/>
          <w:kern w:val="24"/>
          <w:sz w:val="24"/>
          <w:szCs w:val="24"/>
        </w:rPr>
        <w:t>Amid those disparities,</w:t>
      </w:r>
      <w:r w:rsidRPr="00AD36D9">
        <w:rPr>
          <w:rFonts w:ascii="Times New Roman" w:eastAsiaTheme="minorEastAsia" w:hAnsi="Times New Roman" w:cs="Times New Roman"/>
          <w:bCs/>
          <w:color w:val="000000" w:themeColor="text1"/>
          <w:kern w:val="24"/>
          <w:sz w:val="24"/>
          <w:szCs w:val="24"/>
        </w:rPr>
        <w:t xml:space="preserve"> t</w:t>
      </w:r>
      <w:r w:rsidRPr="00AD36D9">
        <w:rPr>
          <w:rFonts w:ascii="Times New Roman" w:eastAsia="Times New Roman" w:hAnsi="Times New Roman" w:cs="Times New Roman"/>
          <w:sz w:val="24"/>
          <w:szCs w:val="24"/>
          <w:lang w:val="en-GB" w:eastAsia="en-GB"/>
        </w:rPr>
        <w:t>here is a lack of understanding on why there is a disproportionately low percentage of women taking a seco</w:t>
      </w:r>
      <w:r>
        <w:rPr>
          <w:rFonts w:ascii="Times New Roman" w:eastAsia="Times New Roman" w:hAnsi="Times New Roman" w:cs="Times New Roman"/>
          <w:sz w:val="24"/>
          <w:szCs w:val="24"/>
          <w:lang w:val="en-GB" w:eastAsia="en-GB"/>
        </w:rPr>
        <w:t>nd year of high school physics.</w:t>
      </w:r>
    </w:p>
    <w:p w14:paraId="6F59C4D9" w14:textId="0C365148" w:rsidR="00FB41AA" w:rsidRPr="00AD36D9" w:rsidRDefault="00FB41AA" w:rsidP="003F7FE4">
      <w:pPr>
        <w:pStyle w:val="Heading2"/>
      </w:pPr>
      <w:bookmarkStart w:id="28" w:name="_Toc117501918"/>
      <w:r w:rsidRPr="00AD36D9">
        <w:t>Research Question</w:t>
      </w:r>
      <w:r w:rsidR="001D4E85" w:rsidRPr="00AD36D9">
        <w:t>s</w:t>
      </w:r>
      <w:bookmarkEnd w:id="25"/>
      <w:bookmarkEnd w:id="26"/>
      <w:bookmarkEnd w:id="27"/>
      <w:bookmarkEnd w:id="28"/>
    </w:p>
    <w:p w14:paraId="61E1A7A6" w14:textId="7A5393EC" w:rsidR="00FB41AA" w:rsidRPr="00AD36D9" w:rsidRDefault="00FB41AA" w:rsidP="00BA4A2D">
      <w:pPr>
        <w:widowControl w:val="0"/>
        <w:spacing w:after="0" w:line="480" w:lineRule="auto"/>
        <w:ind w:firstLine="720"/>
        <w:rPr>
          <w:rFonts w:ascii="Times New Roman" w:hAnsi="Times New Roman" w:cs="Times New Roman"/>
          <w:sz w:val="24"/>
          <w:szCs w:val="24"/>
        </w:rPr>
      </w:pPr>
      <w:r w:rsidRPr="00AD36D9">
        <w:rPr>
          <w:rFonts w:ascii="Times New Roman" w:hAnsi="Times New Roman" w:cs="Times New Roman"/>
          <w:sz w:val="24"/>
          <w:szCs w:val="24"/>
        </w:rPr>
        <w:t>One possible factor that drives the decision making process for students in course selection is self-efficacy</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The research question</w:t>
      </w:r>
      <w:r w:rsidR="00091238" w:rsidRPr="00AD36D9">
        <w:rPr>
          <w:rFonts w:ascii="Times New Roman" w:hAnsi="Times New Roman" w:cs="Times New Roman"/>
          <w:sz w:val="24"/>
          <w:szCs w:val="24"/>
        </w:rPr>
        <w:t>s</w:t>
      </w:r>
      <w:r w:rsidRPr="00AD36D9">
        <w:rPr>
          <w:rFonts w:ascii="Times New Roman" w:hAnsi="Times New Roman" w:cs="Times New Roman"/>
          <w:sz w:val="24"/>
          <w:szCs w:val="24"/>
        </w:rPr>
        <w:t xml:space="preserve"> to be addressed by this study </w:t>
      </w:r>
      <w:r w:rsidR="00091238" w:rsidRPr="00AD36D9">
        <w:rPr>
          <w:rFonts w:ascii="Times New Roman" w:hAnsi="Times New Roman" w:cs="Times New Roman"/>
          <w:sz w:val="24"/>
          <w:szCs w:val="24"/>
        </w:rPr>
        <w:t>are</w:t>
      </w:r>
      <w:r w:rsidRPr="00AD36D9">
        <w:rPr>
          <w:rFonts w:ascii="Times New Roman" w:hAnsi="Times New Roman" w:cs="Times New Roman"/>
          <w:sz w:val="24"/>
          <w:szCs w:val="24"/>
        </w:rPr>
        <w:t>:</w:t>
      </w:r>
    </w:p>
    <w:p w14:paraId="4EB84793" w14:textId="0BA6F3BB" w:rsidR="003D2C41" w:rsidRPr="00AD36D9" w:rsidRDefault="00FB41AA" w:rsidP="00BA4A2D">
      <w:pPr>
        <w:widowControl w:val="0"/>
        <w:spacing w:after="0" w:line="480" w:lineRule="auto"/>
        <w:ind w:left="720"/>
        <w:rPr>
          <w:rFonts w:ascii="Times New Roman" w:hAnsi="Times New Roman" w:cs="Times New Roman"/>
          <w:sz w:val="24"/>
          <w:szCs w:val="24"/>
        </w:rPr>
      </w:pPr>
      <w:r w:rsidRPr="00AD36D9">
        <w:rPr>
          <w:rFonts w:ascii="Times New Roman" w:hAnsi="Times New Roman" w:cs="Times New Roman"/>
          <w:sz w:val="24"/>
          <w:szCs w:val="24"/>
        </w:rPr>
        <w:t>R</w:t>
      </w:r>
      <w:r w:rsidR="00342637" w:rsidRPr="00AD36D9">
        <w:rPr>
          <w:rFonts w:ascii="Times New Roman" w:hAnsi="Times New Roman" w:cs="Times New Roman"/>
          <w:sz w:val="24"/>
          <w:szCs w:val="24"/>
        </w:rPr>
        <w:t>Q#</w:t>
      </w:r>
      <w:r w:rsidRPr="00AD36D9">
        <w:rPr>
          <w:rFonts w:ascii="Times New Roman" w:hAnsi="Times New Roman" w:cs="Times New Roman"/>
          <w:sz w:val="24"/>
          <w:szCs w:val="24"/>
        </w:rPr>
        <w:t>1:</w:t>
      </w:r>
      <w:r w:rsidR="0019496E" w:rsidRPr="00AD36D9">
        <w:rPr>
          <w:rFonts w:ascii="Times New Roman" w:hAnsi="Times New Roman" w:cs="Times New Roman"/>
          <w:sz w:val="24"/>
          <w:szCs w:val="24"/>
        </w:rPr>
        <w:t xml:space="preserve">  </w:t>
      </w:r>
      <w:r w:rsidR="001141BC" w:rsidRPr="00AD36D9">
        <w:rPr>
          <w:rFonts w:ascii="Times New Roman" w:hAnsi="Times New Roman" w:cs="Times New Roman"/>
          <w:sz w:val="24"/>
          <w:szCs w:val="24"/>
        </w:rPr>
        <w:t xml:space="preserve">Is self-efficacy a significant predictor of </w:t>
      </w:r>
      <w:r w:rsidR="005862FC" w:rsidRPr="00AD36D9">
        <w:rPr>
          <w:rFonts w:ascii="Times New Roman" w:hAnsi="Times New Roman" w:cs="Times New Roman"/>
          <w:sz w:val="24"/>
          <w:szCs w:val="24"/>
        </w:rPr>
        <w:t xml:space="preserve">enrollment decision of high school students in </w:t>
      </w:r>
      <w:r w:rsidR="008159B8">
        <w:rPr>
          <w:rFonts w:ascii="Times New Roman" w:hAnsi="Times New Roman" w:cs="Times New Roman"/>
          <w:sz w:val="24"/>
          <w:szCs w:val="24"/>
        </w:rPr>
        <w:t>second-year physics</w:t>
      </w:r>
      <w:r w:rsidR="001141BC" w:rsidRPr="00AD36D9">
        <w:rPr>
          <w:rFonts w:ascii="Times New Roman" w:hAnsi="Times New Roman" w:cs="Times New Roman"/>
          <w:sz w:val="24"/>
          <w:szCs w:val="24"/>
        </w:rPr>
        <w:t>?</w:t>
      </w:r>
    </w:p>
    <w:p w14:paraId="375D480C" w14:textId="0E58598E" w:rsidR="001D4E85" w:rsidRPr="00AD36D9" w:rsidRDefault="001D4E85" w:rsidP="00BA4A2D">
      <w:pPr>
        <w:widowControl w:val="0"/>
        <w:spacing w:after="0" w:line="480" w:lineRule="auto"/>
        <w:ind w:left="720"/>
        <w:rPr>
          <w:rFonts w:ascii="Times New Roman" w:hAnsi="Times New Roman" w:cs="Times New Roman"/>
          <w:sz w:val="24"/>
          <w:szCs w:val="24"/>
        </w:rPr>
      </w:pPr>
      <w:r w:rsidRPr="00AD36D9">
        <w:rPr>
          <w:rFonts w:ascii="Times New Roman" w:hAnsi="Times New Roman" w:cs="Times New Roman"/>
          <w:sz w:val="24"/>
          <w:szCs w:val="24"/>
        </w:rPr>
        <w:t>R</w:t>
      </w:r>
      <w:r w:rsidR="00342637" w:rsidRPr="00AD36D9">
        <w:rPr>
          <w:rFonts w:ascii="Times New Roman" w:hAnsi="Times New Roman" w:cs="Times New Roman"/>
          <w:sz w:val="24"/>
          <w:szCs w:val="24"/>
        </w:rPr>
        <w:t>Q#</w:t>
      </w:r>
      <w:r w:rsidRPr="00AD36D9">
        <w:rPr>
          <w:rFonts w:ascii="Times New Roman" w:hAnsi="Times New Roman" w:cs="Times New Roman"/>
          <w:sz w:val="24"/>
          <w:szCs w:val="24"/>
        </w:rPr>
        <w:t xml:space="preserve">2: Are there </w:t>
      </w:r>
      <w:r w:rsidR="003D2C41" w:rsidRPr="00AD36D9">
        <w:rPr>
          <w:rFonts w:ascii="Times New Roman" w:hAnsi="Times New Roman" w:cs="Times New Roman"/>
          <w:sz w:val="24"/>
          <w:szCs w:val="24"/>
        </w:rPr>
        <w:t xml:space="preserve">significant </w:t>
      </w:r>
      <w:r w:rsidRPr="00AD36D9">
        <w:rPr>
          <w:rFonts w:ascii="Times New Roman" w:hAnsi="Times New Roman" w:cs="Times New Roman"/>
          <w:sz w:val="24"/>
          <w:szCs w:val="24"/>
        </w:rPr>
        <w:t xml:space="preserve">differences between </w:t>
      </w:r>
      <w:r w:rsidR="003D2C41" w:rsidRPr="00AD36D9">
        <w:rPr>
          <w:rFonts w:ascii="Times New Roman" w:hAnsi="Times New Roman" w:cs="Times New Roman"/>
          <w:sz w:val="24"/>
          <w:szCs w:val="24"/>
        </w:rPr>
        <w:t>men and women on the impact of s</w:t>
      </w:r>
      <w:r w:rsidRPr="00AD36D9">
        <w:rPr>
          <w:rFonts w:ascii="Times New Roman" w:hAnsi="Times New Roman" w:cs="Times New Roman"/>
          <w:sz w:val="24"/>
          <w:szCs w:val="24"/>
        </w:rPr>
        <w:t xml:space="preserve">elf-efficacy </w:t>
      </w:r>
      <w:r w:rsidR="00911DBF" w:rsidRPr="00AD36D9">
        <w:rPr>
          <w:rFonts w:ascii="Times New Roman" w:hAnsi="Times New Roman" w:cs="Times New Roman"/>
          <w:sz w:val="24"/>
          <w:szCs w:val="24"/>
        </w:rPr>
        <w:t>on</w:t>
      </w:r>
      <w:r w:rsidRPr="00AD36D9">
        <w:rPr>
          <w:rFonts w:ascii="Times New Roman" w:hAnsi="Times New Roman" w:cs="Times New Roman"/>
          <w:sz w:val="24"/>
          <w:szCs w:val="24"/>
        </w:rPr>
        <w:t xml:space="preserve"> predicting second year of high school physics</w:t>
      </w:r>
      <w:r w:rsidR="00911DBF" w:rsidRPr="00AD36D9">
        <w:rPr>
          <w:rFonts w:ascii="Times New Roman" w:hAnsi="Times New Roman" w:cs="Times New Roman"/>
          <w:sz w:val="24"/>
          <w:szCs w:val="24"/>
        </w:rPr>
        <w:t xml:space="preserve"> enrollment decision</w:t>
      </w:r>
      <w:r w:rsidRPr="00AD36D9">
        <w:rPr>
          <w:rFonts w:ascii="Times New Roman" w:hAnsi="Times New Roman" w:cs="Times New Roman"/>
          <w:sz w:val="24"/>
          <w:szCs w:val="24"/>
        </w:rPr>
        <w:t>?</w:t>
      </w:r>
    </w:p>
    <w:p w14:paraId="3649136A" w14:textId="289DDF04" w:rsidR="00FB41AA" w:rsidRPr="00AD36D9" w:rsidRDefault="00FB41AA" w:rsidP="00BA4A2D">
      <w:pPr>
        <w:widowControl w:val="0"/>
        <w:spacing w:after="0" w:line="480" w:lineRule="auto"/>
        <w:ind w:firstLine="720"/>
        <w:rPr>
          <w:rFonts w:ascii="Times New Roman" w:hAnsi="Times New Roman" w:cs="Times New Roman"/>
          <w:sz w:val="24"/>
          <w:szCs w:val="24"/>
        </w:rPr>
      </w:pPr>
      <w:r w:rsidRPr="00AD36D9">
        <w:rPr>
          <w:rFonts w:ascii="Times New Roman" w:hAnsi="Times New Roman" w:cs="Times New Roman"/>
          <w:sz w:val="24"/>
          <w:szCs w:val="24"/>
        </w:rPr>
        <w:t xml:space="preserve">The dependent categorical variable for this study </w:t>
      </w:r>
      <w:r w:rsidR="00837830">
        <w:rPr>
          <w:rFonts w:ascii="Times New Roman" w:hAnsi="Times New Roman" w:cs="Times New Roman"/>
          <w:sz w:val="24"/>
          <w:szCs w:val="24"/>
        </w:rPr>
        <w:t>was</w:t>
      </w:r>
      <w:r w:rsidR="00837830" w:rsidRPr="00647AEC">
        <w:rPr>
          <w:rFonts w:ascii="Times New Roman" w:hAnsi="Times New Roman" w:cs="Times New Roman"/>
          <w:sz w:val="24"/>
          <w:szCs w:val="24"/>
        </w:rPr>
        <w:t xml:space="preserve"> </w:t>
      </w:r>
      <w:r w:rsidRPr="00647AEC">
        <w:rPr>
          <w:rFonts w:ascii="Times New Roman" w:hAnsi="Times New Roman" w:cs="Times New Roman"/>
          <w:sz w:val="24"/>
          <w:szCs w:val="24"/>
        </w:rPr>
        <w:t xml:space="preserve">enrollment </w:t>
      </w:r>
      <w:r w:rsidR="00F00CC9" w:rsidRPr="00647AEC">
        <w:rPr>
          <w:rFonts w:ascii="Times New Roman" w:hAnsi="Times New Roman" w:cs="Times New Roman"/>
          <w:sz w:val="24"/>
          <w:szCs w:val="24"/>
        </w:rPr>
        <w:t>decision</w:t>
      </w:r>
      <w:r w:rsidRPr="00647AEC">
        <w:rPr>
          <w:rFonts w:ascii="Times New Roman" w:hAnsi="Times New Roman" w:cs="Times New Roman"/>
          <w:sz w:val="24"/>
          <w:szCs w:val="24"/>
        </w:rPr>
        <w:t xml:space="preserve"> </w:t>
      </w:r>
      <w:r w:rsidR="00F00CC9" w:rsidRPr="00647AEC">
        <w:rPr>
          <w:rFonts w:ascii="Times New Roman" w:hAnsi="Times New Roman" w:cs="Times New Roman"/>
          <w:sz w:val="24"/>
          <w:szCs w:val="24"/>
        </w:rPr>
        <w:t>(ENRD)</w:t>
      </w:r>
      <w:r w:rsidRPr="00647AEC">
        <w:rPr>
          <w:rFonts w:ascii="Times New Roman" w:hAnsi="Times New Roman" w:cs="Times New Roman"/>
          <w:sz w:val="24"/>
          <w:szCs w:val="24"/>
        </w:rPr>
        <w:t xml:space="preserve"> in a</w:t>
      </w:r>
      <w:r w:rsidRPr="00AD36D9">
        <w:rPr>
          <w:rFonts w:ascii="Times New Roman" w:hAnsi="Times New Roman" w:cs="Times New Roman"/>
          <w:sz w:val="24"/>
          <w:szCs w:val="24"/>
        </w:rPr>
        <w:t xml:space="preserve"> second year of high school physics as indicated on the Participant Demographics Survey (Appendix A)</w:t>
      </w:r>
      <w:r w:rsidR="00736F31" w:rsidRPr="00AD36D9">
        <w:rPr>
          <w:rFonts w:ascii="Times New Roman" w:hAnsi="Times New Roman" w:cs="Times New Roman"/>
          <w:sz w:val="24"/>
          <w:szCs w:val="24"/>
        </w:rPr>
        <w:t xml:space="preserve">. </w:t>
      </w:r>
      <w:r w:rsidR="009528DB">
        <w:rPr>
          <w:rFonts w:ascii="Times New Roman" w:hAnsi="Times New Roman" w:cs="Times New Roman"/>
          <w:sz w:val="24"/>
          <w:szCs w:val="24"/>
        </w:rPr>
        <w:t>The enrollment</w:t>
      </w:r>
      <w:r w:rsidR="009528DB" w:rsidRPr="00AD36D9">
        <w:rPr>
          <w:rFonts w:ascii="Times New Roman" w:hAnsi="Times New Roman" w:cs="Times New Roman"/>
          <w:sz w:val="24"/>
          <w:szCs w:val="24"/>
        </w:rPr>
        <w:t xml:space="preserve"> </w:t>
      </w:r>
      <w:r w:rsidRPr="00AD36D9">
        <w:rPr>
          <w:rFonts w:ascii="Times New Roman" w:hAnsi="Times New Roman" w:cs="Times New Roman"/>
          <w:sz w:val="24"/>
          <w:szCs w:val="24"/>
        </w:rPr>
        <w:t>st</w:t>
      </w:r>
      <w:r w:rsidR="00E649F8">
        <w:rPr>
          <w:rFonts w:ascii="Times New Roman" w:hAnsi="Times New Roman" w:cs="Times New Roman"/>
          <w:sz w:val="24"/>
          <w:szCs w:val="24"/>
        </w:rPr>
        <w:t>atus is</w:t>
      </w:r>
      <w:r w:rsidRPr="00AD36D9">
        <w:rPr>
          <w:rFonts w:ascii="Times New Roman" w:hAnsi="Times New Roman" w:cs="Times New Roman"/>
          <w:sz w:val="24"/>
          <w:szCs w:val="24"/>
        </w:rPr>
        <w:t xml:space="preserve"> define</w:t>
      </w:r>
      <w:r w:rsidR="00091238" w:rsidRPr="00AD36D9">
        <w:rPr>
          <w:rFonts w:ascii="Times New Roman" w:hAnsi="Times New Roman" w:cs="Times New Roman"/>
          <w:sz w:val="24"/>
          <w:szCs w:val="24"/>
        </w:rPr>
        <w:t>d</w:t>
      </w:r>
      <w:r w:rsidRPr="00AD36D9">
        <w:rPr>
          <w:rFonts w:ascii="Times New Roman" w:hAnsi="Times New Roman" w:cs="Times New Roman"/>
          <w:sz w:val="24"/>
          <w:szCs w:val="24"/>
        </w:rPr>
        <w:t xml:space="preserve"> as either Yes or No</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The continuous independent </w:t>
      </w:r>
      <w:r w:rsidR="00837830">
        <w:rPr>
          <w:rFonts w:ascii="Times New Roman" w:hAnsi="Times New Roman" w:cs="Times New Roman"/>
          <w:sz w:val="24"/>
          <w:szCs w:val="24"/>
        </w:rPr>
        <w:t>variables were sources of</w:t>
      </w:r>
      <w:r w:rsidRPr="00647AEC">
        <w:rPr>
          <w:rFonts w:ascii="Times New Roman" w:hAnsi="Times New Roman" w:cs="Times New Roman"/>
          <w:sz w:val="24"/>
          <w:szCs w:val="24"/>
        </w:rPr>
        <w:t xml:space="preserve"> self-efficacy</w:t>
      </w:r>
      <w:r w:rsidR="00736F31" w:rsidRPr="00647AEC">
        <w:rPr>
          <w:rFonts w:ascii="Times New Roman" w:hAnsi="Times New Roman" w:cs="Times New Roman"/>
          <w:sz w:val="24"/>
          <w:szCs w:val="24"/>
        </w:rPr>
        <w:t xml:space="preserve">. </w:t>
      </w:r>
      <w:r w:rsidRPr="00647AEC">
        <w:rPr>
          <w:rFonts w:ascii="Times New Roman" w:hAnsi="Times New Roman" w:cs="Times New Roman"/>
          <w:sz w:val="24"/>
          <w:szCs w:val="24"/>
        </w:rPr>
        <w:t xml:space="preserve">The </w:t>
      </w:r>
      <w:r w:rsidR="00837830">
        <w:rPr>
          <w:rFonts w:ascii="Times New Roman" w:hAnsi="Times New Roman" w:cs="Times New Roman"/>
          <w:sz w:val="24"/>
          <w:szCs w:val="24"/>
        </w:rPr>
        <w:t>sources</w:t>
      </w:r>
      <w:r w:rsidR="00837830" w:rsidRPr="00647AEC">
        <w:rPr>
          <w:rFonts w:ascii="Times New Roman" w:hAnsi="Times New Roman" w:cs="Times New Roman"/>
          <w:sz w:val="24"/>
          <w:szCs w:val="24"/>
        </w:rPr>
        <w:t xml:space="preserve"> </w:t>
      </w:r>
      <w:r w:rsidRPr="00647AEC">
        <w:rPr>
          <w:rFonts w:ascii="Times New Roman" w:hAnsi="Times New Roman" w:cs="Times New Roman"/>
          <w:sz w:val="24"/>
          <w:szCs w:val="24"/>
        </w:rPr>
        <w:t xml:space="preserve">of self-efficacy </w:t>
      </w:r>
      <w:r w:rsidR="00837830">
        <w:rPr>
          <w:rFonts w:ascii="Times New Roman" w:hAnsi="Times New Roman" w:cs="Times New Roman"/>
          <w:sz w:val="24"/>
          <w:szCs w:val="24"/>
        </w:rPr>
        <w:t>were</w:t>
      </w:r>
      <w:r w:rsidR="00837830" w:rsidRPr="00647AEC">
        <w:rPr>
          <w:rFonts w:ascii="Times New Roman" w:hAnsi="Times New Roman" w:cs="Times New Roman"/>
          <w:sz w:val="24"/>
          <w:szCs w:val="24"/>
        </w:rPr>
        <w:t xml:space="preserve"> </w:t>
      </w:r>
      <w:r w:rsidRPr="00647AEC">
        <w:rPr>
          <w:rFonts w:ascii="Times New Roman" w:hAnsi="Times New Roman" w:cs="Times New Roman"/>
          <w:sz w:val="24"/>
          <w:szCs w:val="24"/>
        </w:rPr>
        <w:t>measured</w:t>
      </w:r>
      <w:r w:rsidR="0042587E">
        <w:rPr>
          <w:rFonts w:ascii="Times New Roman" w:hAnsi="Times New Roman" w:cs="Times New Roman"/>
          <w:sz w:val="24"/>
          <w:szCs w:val="24"/>
        </w:rPr>
        <w:t xml:space="preserve"> using the</w:t>
      </w:r>
      <w:r w:rsidR="0042587E" w:rsidRPr="0042587E">
        <w:rPr>
          <w:rFonts w:ascii="Times New Roman" w:hAnsi="Times New Roman" w:cs="Times New Roman"/>
          <w:sz w:val="24"/>
          <w:szCs w:val="24"/>
        </w:rPr>
        <w:t xml:space="preserve"> </w:t>
      </w:r>
      <w:r w:rsidR="0042587E">
        <w:rPr>
          <w:rFonts w:ascii="Times New Roman" w:hAnsi="Times New Roman" w:cs="Times New Roman"/>
          <w:sz w:val="24"/>
          <w:szCs w:val="24"/>
        </w:rPr>
        <w:t>SOSESC-P scale</w:t>
      </w:r>
      <w:r w:rsidRPr="00647AEC">
        <w:rPr>
          <w:rFonts w:ascii="Times New Roman" w:hAnsi="Times New Roman" w:cs="Times New Roman"/>
          <w:sz w:val="24"/>
          <w:szCs w:val="24"/>
        </w:rPr>
        <w:t xml:space="preserve"> along four dimensions: physiological state (PS), mastery experiences (ME), vicarious learning (VL), and social persuasion (SP)</w:t>
      </w:r>
      <w:r w:rsidR="00736F31" w:rsidRPr="00647AEC">
        <w:rPr>
          <w:rFonts w:ascii="Times New Roman" w:hAnsi="Times New Roman" w:cs="Times New Roman"/>
          <w:sz w:val="24"/>
          <w:szCs w:val="24"/>
        </w:rPr>
        <w:t xml:space="preserve">. </w:t>
      </w:r>
      <w:r w:rsidRPr="00647AEC">
        <w:rPr>
          <w:rFonts w:ascii="Times New Roman" w:hAnsi="Times New Roman" w:cs="Times New Roman"/>
          <w:sz w:val="24"/>
          <w:szCs w:val="24"/>
        </w:rPr>
        <w:t>Levels of the dimensions of self-</w:t>
      </w:r>
      <w:r w:rsidRPr="00AD36D9">
        <w:rPr>
          <w:rFonts w:ascii="Times New Roman" w:hAnsi="Times New Roman" w:cs="Times New Roman"/>
          <w:sz w:val="24"/>
          <w:szCs w:val="24"/>
        </w:rPr>
        <w:t xml:space="preserve">efficacy </w:t>
      </w:r>
      <w:r w:rsidR="00E649F8">
        <w:rPr>
          <w:rFonts w:ascii="Times New Roman" w:hAnsi="Times New Roman" w:cs="Times New Roman"/>
          <w:sz w:val="24"/>
          <w:szCs w:val="24"/>
        </w:rPr>
        <w:t>was</w:t>
      </w:r>
      <w:r w:rsidRPr="00AD36D9">
        <w:rPr>
          <w:rFonts w:ascii="Times New Roman" w:hAnsi="Times New Roman" w:cs="Times New Roman"/>
          <w:sz w:val="24"/>
          <w:szCs w:val="24"/>
        </w:rPr>
        <w:t xml:space="preserve"> measured from the administration of the SOSESC-P (Appendix C)</w:t>
      </w:r>
      <w:r w:rsidR="00736F31" w:rsidRPr="00AD36D9">
        <w:rPr>
          <w:rFonts w:ascii="Times New Roman" w:hAnsi="Times New Roman" w:cs="Times New Roman"/>
          <w:sz w:val="24"/>
          <w:szCs w:val="24"/>
        </w:rPr>
        <w:t xml:space="preserve">. </w:t>
      </w:r>
      <w:r w:rsidR="00790F52" w:rsidRPr="00AD36D9">
        <w:rPr>
          <w:rFonts w:ascii="Times New Roman" w:hAnsi="Times New Roman" w:cs="Times New Roman"/>
          <w:sz w:val="24"/>
          <w:szCs w:val="24"/>
        </w:rPr>
        <w:t xml:space="preserve">In addition to level of self-efficacy, gender </w:t>
      </w:r>
      <w:r w:rsidR="00837830">
        <w:rPr>
          <w:rFonts w:ascii="Times New Roman" w:hAnsi="Times New Roman" w:cs="Times New Roman"/>
          <w:sz w:val="24"/>
          <w:szCs w:val="24"/>
        </w:rPr>
        <w:t>was</w:t>
      </w:r>
      <w:r w:rsidR="00837830" w:rsidRPr="00AD36D9">
        <w:rPr>
          <w:rFonts w:ascii="Times New Roman" w:hAnsi="Times New Roman" w:cs="Times New Roman"/>
          <w:sz w:val="24"/>
          <w:szCs w:val="24"/>
        </w:rPr>
        <w:t xml:space="preserve"> </w:t>
      </w:r>
      <w:r w:rsidR="00790F52" w:rsidRPr="00AD36D9">
        <w:rPr>
          <w:rFonts w:ascii="Times New Roman" w:hAnsi="Times New Roman" w:cs="Times New Roman"/>
          <w:sz w:val="24"/>
          <w:szCs w:val="24"/>
        </w:rPr>
        <w:t>also an independent va</w:t>
      </w:r>
      <w:r w:rsidR="00F6571F" w:rsidRPr="00AD36D9">
        <w:rPr>
          <w:rFonts w:ascii="Times New Roman" w:hAnsi="Times New Roman" w:cs="Times New Roman"/>
          <w:sz w:val="24"/>
          <w:szCs w:val="24"/>
        </w:rPr>
        <w:t>riable in this research study</w:t>
      </w:r>
      <w:r w:rsidR="00790F52" w:rsidRPr="00AD36D9">
        <w:rPr>
          <w:rFonts w:ascii="Times New Roman" w:hAnsi="Times New Roman" w:cs="Times New Roman"/>
          <w:sz w:val="24"/>
          <w:szCs w:val="24"/>
        </w:rPr>
        <w:t xml:space="preserve"> to determine if there are differences between men and women </w:t>
      </w:r>
      <w:r w:rsidR="009D0527">
        <w:rPr>
          <w:rFonts w:ascii="Times New Roman" w:hAnsi="Times New Roman" w:cs="Times New Roman"/>
          <w:sz w:val="24"/>
          <w:szCs w:val="24"/>
        </w:rPr>
        <w:t>in</w:t>
      </w:r>
      <w:r w:rsidR="00790F52" w:rsidRPr="00AD36D9">
        <w:rPr>
          <w:rFonts w:ascii="Times New Roman" w:hAnsi="Times New Roman" w:cs="Times New Roman"/>
          <w:sz w:val="24"/>
          <w:szCs w:val="24"/>
        </w:rPr>
        <w:t xml:space="preserve"> the role that self-efficacy plays in </w:t>
      </w:r>
      <w:r w:rsidR="008159B8">
        <w:rPr>
          <w:rFonts w:ascii="Times New Roman" w:hAnsi="Times New Roman" w:cs="Times New Roman"/>
          <w:sz w:val="24"/>
          <w:szCs w:val="24"/>
        </w:rPr>
        <w:t>second-year physics</w:t>
      </w:r>
      <w:r w:rsidR="009D0527">
        <w:rPr>
          <w:rFonts w:ascii="Times New Roman" w:hAnsi="Times New Roman" w:cs="Times New Roman"/>
          <w:sz w:val="24"/>
          <w:szCs w:val="24"/>
        </w:rPr>
        <w:t xml:space="preserve"> </w:t>
      </w:r>
      <w:r w:rsidR="00790F52" w:rsidRPr="00AD36D9">
        <w:rPr>
          <w:rFonts w:ascii="Times New Roman" w:hAnsi="Times New Roman" w:cs="Times New Roman"/>
          <w:sz w:val="24"/>
          <w:szCs w:val="24"/>
        </w:rPr>
        <w:t xml:space="preserve">enrollment decisions. </w:t>
      </w:r>
    </w:p>
    <w:p w14:paraId="73EE2C23" w14:textId="77777777" w:rsidR="00FB41AA" w:rsidRPr="00AD36D9" w:rsidRDefault="00FB41AA" w:rsidP="003F7FE4">
      <w:pPr>
        <w:pStyle w:val="Heading2"/>
      </w:pPr>
      <w:bookmarkStart w:id="29" w:name="_Toc349720639"/>
      <w:bookmarkStart w:id="30" w:name="_Toc350241683"/>
      <w:bookmarkStart w:id="31" w:name="_Toc351528704"/>
      <w:bookmarkStart w:id="32" w:name="_Toc117501919"/>
      <w:r w:rsidRPr="00AD36D9">
        <w:lastRenderedPageBreak/>
        <w:t>Research Methodology</w:t>
      </w:r>
      <w:bookmarkEnd w:id="29"/>
      <w:bookmarkEnd w:id="30"/>
      <w:bookmarkEnd w:id="31"/>
      <w:bookmarkEnd w:id="32"/>
    </w:p>
    <w:p w14:paraId="20CFB793" w14:textId="1DEDADE1" w:rsidR="001231B9" w:rsidRPr="00AD36D9" w:rsidRDefault="003C682E" w:rsidP="00BA4A2D">
      <w:pPr>
        <w:widowControl w:val="0"/>
        <w:spacing w:after="0" w:line="480" w:lineRule="auto"/>
        <w:ind w:firstLine="720"/>
        <w:rPr>
          <w:rFonts w:ascii="Times New Roman" w:hAnsi="Times New Roman" w:cs="Times New Roman"/>
          <w:sz w:val="24"/>
          <w:szCs w:val="24"/>
        </w:rPr>
      </w:pPr>
      <w:r w:rsidRPr="00AD36D9">
        <w:rPr>
          <w:rFonts w:ascii="Times New Roman" w:hAnsi="Times New Roman" w:cs="Times New Roman"/>
          <w:sz w:val="24"/>
          <w:szCs w:val="24"/>
        </w:rPr>
        <w:t xml:space="preserve">Quantitative methodology </w:t>
      </w:r>
      <w:r w:rsidR="007C408C">
        <w:rPr>
          <w:rFonts w:ascii="Times New Roman" w:hAnsi="Times New Roman" w:cs="Times New Roman"/>
          <w:sz w:val="24"/>
          <w:szCs w:val="24"/>
        </w:rPr>
        <w:t>was</w:t>
      </w:r>
      <w:r w:rsidR="007C408C" w:rsidRPr="00AD36D9">
        <w:rPr>
          <w:rFonts w:ascii="Times New Roman" w:hAnsi="Times New Roman" w:cs="Times New Roman"/>
          <w:sz w:val="24"/>
          <w:szCs w:val="24"/>
        </w:rPr>
        <w:t xml:space="preserve"> </w:t>
      </w:r>
      <w:r w:rsidRPr="00AD36D9">
        <w:rPr>
          <w:rFonts w:ascii="Times New Roman" w:hAnsi="Times New Roman" w:cs="Times New Roman"/>
          <w:sz w:val="24"/>
          <w:szCs w:val="24"/>
        </w:rPr>
        <w:t>appropriate for this research study due to the complex nature of the va</w:t>
      </w:r>
      <w:r w:rsidR="003B0E11" w:rsidRPr="00AD36D9">
        <w:rPr>
          <w:rFonts w:ascii="Times New Roman" w:hAnsi="Times New Roman" w:cs="Times New Roman"/>
          <w:sz w:val="24"/>
          <w:szCs w:val="24"/>
        </w:rPr>
        <w:t xml:space="preserve">riables involved. </w:t>
      </w:r>
      <w:r w:rsidR="00406FE1" w:rsidRPr="00AD36D9">
        <w:rPr>
          <w:rFonts w:ascii="Times New Roman" w:hAnsi="Times New Roman" w:cs="Times New Roman"/>
          <w:sz w:val="24"/>
          <w:szCs w:val="24"/>
        </w:rPr>
        <w:t>The complexity of human actions and decisions</w:t>
      </w:r>
      <w:r w:rsidR="00EB08EF" w:rsidRPr="00AD36D9">
        <w:rPr>
          <w:rFonts w:ascii="Times New Roman" w:hAnsi="Times New Roman" w:cs="Times New Roman"/>
          <w:sz w:val="24"/>
          <w:szCs w:val="24"/>
        </w:rPr>
        <w:t xml:space="preserve"> </w:t>
      </w:r>
      <w:r w:rsidR="00635EA0" w:rsidRPr="00AD36D9">
        <w:rPr>
          <w:rFonts w:ascii="Times New Roman" w:hAnsi="Times New Roman" w:cs="Times New Roman"/>
          <w:sz w:val="24"/>
          <w:szCs w:val="24"/>
        </w:rPr>
        <w:t>necessitate</w:t>
      </w:r>
      <w:r w:rsidR="007C408C">
        <w:rPr>
          <w:rFonts w:ascii="Times New Roman" w:hAnsi="Times New Roman" w:cs="Times New Roman"/>
          <w:sz w:val="24"/>
          <w:szCs w:val="24"/>
        </w:rPr>
        <w:t>d</w:t>
      </w:r>
      <w:r w:rsidR="00635EA0" w:rsidRPr="00AD36D9">
        <w:rPr>
          <w:rFonts w:ascii="Times New Roman" w:hAnsi="Times New Roman" w:cs="Times New Roman"/>
          <w:sz w:val="24"/>
          <w:szCs w:val="24"/>
        </w:rPr>
        <w:t xml:space="preserve"> </w:t>
      </w:r>
      <w:r w:rsidR="00EB08EF" w:rsidRPr="00AD36D9">
        <w:rPr>
          <w:rFonts w:ascii="Times New Roman" w:hAnsi="Times New Roman" w:cs="Times New Roman"/>
          <w:sz w:val="24"/>
          <w:szCs w:val="24"/>
        </w:rPr>
        <w:t>m</w:t>
      </w:r>
      <w:r w:rsidR="00635EA0" w:rsidRPr="00AD36D9">
        <w:rPr>
          <w:rFonts w:ascii="Times New Roman" w:hAnsi="Times New Roman" w:cs="Times New Roman"/>
          <w:sz w:val="24"/>
          <w:szCs w:val="24"/>
        </w:rPr>
        <w:t>ultivariate statistics</w:t>
      </w:r>
      <w:r w:rsidRPr="00AD36D9">
        <w:rPr>
          <w:rFonts w:ascii="Times New Roman" w:hAnsi="Times New Roman" w:cs="Times New Roman"/>
          <w:sz w:val="24"/>
          <w:szCs w:val="24"/>
        </w:rPr>
        <w:t xml:space="preserve"> because </w:t>
      </w:r>
      <w:r w:rsidR="00635EA0" w:rsidRPr="00AD36D9">
        <w:rPr>
          <w:rFonts w:ascii="Times New Roman" w:hAnsi="Times New Roman" w:cs="Times New Roman"/>
          <w:sz w:val="24"/>
          <w:szCs w:val="24"/>
        </w:rPr>
        <w:t xml:space="preserve">the </w:t>
      </w:r>
      <w:r w:rsidRPr="00AD36D9">
        <w:rPr>
          <w:rFonts w:ascii="Times New Roman" w:hAnsi="Times New Roman" w:cs="Times New Roman"/>
          <w:sz w:val="24"/>
          <w:szCs w:val="24"/>
        </w:rPr>
        <w:t xml:space="preserve">variables </w:t>
      </w:r>
      <w:r w:rsidR="00635EA0" w:rsidRPr="00AD36D9">
        <w:rPr>
          <w:rFonts w:ascii="Times New Roman" w:hAnsi="Times New Roman" w:cs="Times New Roman"/>
          <w:sz w:val="24"/>
          <w:szCs w:val="24"/>
        </w:rPr>
        <w:t xml:space="preserve">of this study </w:t>
      </w:r>
      <w:r w:rsidRPr="00AD36D9">
        <w:rPr>
          <w:rFonts w:ascii="Times New Roman" w:hAnsi="Times New Roman" w:cs="Times New Roman"/>
          <w:sz w:val="24"/>
          <w:szCs w:val="24"/>
        </w:rPr>
        <w:t>do not co-exist in isolation (Mertler &amp; Vannatta 2013)</w:t>
      </w:r>
      <w:r w:rsidR="00F6571F" w:rsidRPr="00AD36D9">
        <w:rPr>
          <w:rFonts w:ascii="Times New Roman" w:hAnsi="Times New Roman" w:cs="Times New Roman"/>
          <w:sz w:val="24"/>
          <w:szCs w:val="24"/>
        </w:rPr>
        <w:t>.</w:t>
      </w:r>
      <w:r w:rsidRPr="00AD36D9">
        <w:rPr>
          <w:rFonts w:ascii="Times New Roman" w:hAnsi="Times New Roman" w:cs="Times New Roman"/>
          <w:sz w:val="24"/>
          <w:szCs w:val="24"/>
        </w:rPr>
        <w:t xml:space="preserve"> </w:t>
      </w:r>
      <w:r w:rsidR="004B6257" w:rsidRPr="00AD36D9">
        <w:rPr>
          <w:rFonts w:ascii="Times New Roman" w:hAnsi="Times New Roman" w:cs="Times New Roman"/>
          <w:sz w:val="24"/>
          <w:szCs w:val="24"/>
        </w:rPr>
        <w:t xml:space="preserve">This study </w:t>
      </w:r>
      <w:r w:rsidR="007C408C" w:rsidRPr="00AD36D9">
        <w:rPr>
          <w:rFonts w:ascii="Times New Roman" w:hAnsi="Times New Roman" w:cs="Times New Roman"/>
          <w:sz w:val="24"/>
          <w:szCs w:val="24"/>
        </w:rPr>
        <w:t>include</w:t>
      </w:r>
      <w:r w:rsidR="007C408C">
        <w:rPr>
          <w:rFonts w:ascii="Times New Roman" w:hAnsi="Times New Roman" w:cs="Times New Roman"/>
          <w:sz w:val="24"/>
          <w:szCs w:val="24"/>
        </w:rPr>
        <w:t>d</w:t>
      </w:r>
      <w:r w:rsidR="007C408C" w:rsidRPr="00AD36D9">
        <w:rPr>
          <w:rFonts w:ascii="Times New Roman" w:hAnsi="Times New Roman" w:cs="Times New Roman"/>
          <w:sz w:val="24"/>
          <w:szCs w:val="24"/>
        </w:rPr>
        <w:t xml:space="preserve"> </w:t>
      </w:r>
      <w:r w:rsidR="004B6257" w:rsidRPr="00AD36D9">
        <w:rPr>
          <w:rFonts w:ascii="Times New Roman" w:hAnsi="Times New Roman" w:cs="Times New Roman"/>
          <w:sz w:val="24"/>
          <w:szCs w:val="24"/>
        </w:rPr>
        <w:t xml:space="preserve">the variables of achievement, gender, </w:t>
      </w:r>
      <w:r w:rsidR="00091238" w:rsidRPr="00AD36D9">
        <w:rPr>
          <w:rFonts w:ascii="Times New Roman" w:hAnsi="Times New Roman" w:cs="Times New Roman"/>
          <w:sz w:val="24"/>
          <w:szCs w:val="24"/>
        </w:rPr>
        <w:t xml:space="preserve">level of </w:t>
      </w:r>
      <w:r w:rsidR="004B6257" w:rsidRPr="00AD36D9">
        <w:rPr>
          <w:rFonts w:ascii="Times New Roman" w:hAnsi="Times New Roman" w:cs="Times New Roman"/>
          <w:sz w:val="24"/>
          <w:szCs w:val="24"/>
        </w:rPr>
        <w:t>self-efficacy and course enrollment</w:t>
      </w:r>
      <w:r w:rsidR="00B95D92" w:rsidRPr="00AD36D9">
        <w:rPr>
          <w:rFonts w:ascii="Times New Roman" w:hAnsi="Times New Roman" w:cs="Times New Roman"/>
          <w:sz w:val="24"/>
          <w:szCs w:val="24"/>
        </w:rPr>
        <w:t xml:space="preserve"> decision</w:t>
      </w:r>
      <w:r w:rsidR="00EB08EF" w:rsidRPr="00AD36D9">
        <w:rPr>
          <w:rFonts w:ascii="Times New Roman" w:hAnsi="Times New Roman" w:cs="Times New Roman"/>
          <w:sz w:val="24"/>
          <w:szCs w:val="24"/>
        </w:rPr>
        <w:t>,</w:t>
      </w:r>
      <w:r w:rsidR="004B6257" w:rsidRPr="00AD36D9">
        <w:rPr>
          <w:rFonts w:ascii="Times New Roman" w:hAnsi="Times New Roman" w:cs="Times New Roman"/>
          <w:sz w:val="24"/>
          <w:szCs w:val="24"/>
        </w:rPr>
        <w:t xml:space="preserve"> which do not exist independent</w:t>
      </w:r>
      <w:r w:rsidR="00EB08EF" w:rsidRPr="00AD36D9">
        <w:rPr>
          <w:rFonts w:ascii="Times New Roman" w:hAnsi="Times New Roman" w:cs="Times New Roman"/>
          <w:sz w:val="24"/>
          <w:szCs w:val="24"/>
        </w:rPr>
        <w:t>ly</w:t>
      </w:r>
      <w:r w:rsidR="004B6257" w:rsidRPr="00AD36D9">
        <w:rPr>
          <w:rFonts w:ascii="Times New Roman" w:hAnsi="Times New Roman" w:cs="Times New Roman"/>
          <w:sz w:val="24"/>
          <w:szCs w:val="24"/>
        </w:rPr>
        <w:t xml:space="preserve"> of each other</w:t>
      </w:r>
      <w:r w:rsidR="00EB08EF" w:rsidRPr="00AD36D9">
        <w:rPr>
          <w:rFonts w:ascii="Times New Roman" w:hAnsi="Times New Roman" w:cs="Times New Roman"/>
          <w:sz w:val="24"/>
          <w:szCs w:val="24"/>
        </w:rPr>
        <w:t xml:space="preserve"> in students’ actions and decisions</w:t>
      </w:r>
      <w:r w:rsidR="006F3250">
        <w:rPr>
          <w:rFonts w:ascii="Times New Roman" w:hAnsi="Times New Roman" w:cs="Times New Roman"/>
          <w:sz w:val="24"/>
          <w:szCs w:val="24"/>
        </w:rPr>
        <w:t xml:space="preserve">. </w:t>
      </w:r>
      <w:r w:rsidR="009528DB">
        <w:rPr>
          <w:rFonts w:ascii="Times New Roman" w:hAnsi="Times New Roman" w:cs="Times New Roman"/>
          <w:sz w:val="24"/>
          <w:szCs w:val="24"/>
        </w:rPr>
        <w:t>The first research question</w:t>
      </w:r>
      <w:r w:rsidR="00300464">
        <w:rPr>
          <w:rFonts w:ascii="Times New Roman" w:hAnsi="Times New Roman" w:cs="Times New Roman"/>
          <w:sz w:val="24"/>
          <w:szCs w:val="24"/>
        </w:rPr>
        <w:t xml:space="preserve"> </w:t>
      </w:r>
      <w:r w:rsidR="00E649F8">
        <w:rPr>
          <w:rFonts w:ascii="Times New Roman" w:hAnsi="Times New Roman" w:cs="Times New Roman"/>
          <w:sz w:val="24"/>
          <w:szCs w:val="24"/>
        </w:rPr>
        <w:t>was</w:t>
      </w:r>
      <w:r w:rsidR="00B9791E">
        <w:rPr>
          <w:rFonts w:ascii="Times New Roman" w:hAnsi="Times New Roman" w:cs="Times New Roman"/>
          <w:sz w:val="24"/>
          <w:szCs w:val="24"/>
        </w:rPr>
        <w:t xml:space="preserve"> addressed by a regression model including all participants to examine the impact of self-efficacy on decision to enroll in </w:t>
      </w:r>
      <w:r w:rsidR="00916809">
        <w:rPr>
          <w:rFonts w:ascii="Times New Roman" w:hAnsi="Times New Roman" w:cs="Times New Roman"/>
          <w:sz w:val="24"/>
          <w:szCs w:val="24"/>
        </w:rPr>
        <w:t>physics</w:t>
      </w:r>
      <w:r w:rsidR="00B9791E">
        <w:rPr>
          <w:rFonts w:ascii="Times New Roman" w:hAnsi="Times New Roman" w:cs="Times New Roman"/>
          <w:sz w:val="24"/>
          <w:szCs w:val="24"/>
        </w:rPr>
        <w:t xml:space="preserve">. This first model </w:t>
      </w:r>
      <w:r w:rsidR="00617BD0">
        <w:rPr>
          <w:rFonts w:ascii="Times New Roman" w:hAnsi="Times New Roman" w:cs="Times New Roman"/>
          <w:sz w:val="24"/>
          <w:szCs w:val="24"/>
        </w:rPr>
        <w:t>controlled</w:t>
      </w:r>
      <w:r w:rsidR="00B9791E">
        <w:rPr>
          <w:rFonts w:ascii="Times New Roman" w:hAnsi="Times New Roman" w:cs="Times New Roman"/>
          <w:sz w:val="24"/>
          <w:szCs w:val="24"/>
        </w:rPr>
        <w:t xml:space="preserve"> for </w:t>
      </w:r>
      <w:r w:rsidR="00E649F8">
        <w:rPr>
          <w:rFonts w:ascii="Times New Roman" w:hAnsi="Times New Roman" w:cs="Times New Roman"/>
          <w:sz w:val="24"/>
          <w:szCs w:val="24"/>
        </w:rPr>
        <w:t>semester one grade</w:t>
      </w:r>
      <w:r w:rsidR="00B9791E">
        <w:rPr>
          <w:rFonts w:ascii="Times New Roman" w:hAnsi="Times New Roman" w:cs="Times New Roman"/>
          <w:sz w:val="24"/>
          <w:szCs w:val="24"/>
        </w:rPr>
        <w:t xml:space="preserve"> and </w:t>
      </w:r>
      <w:r w:rsidR="00E649F8">
        <w:rPr>
          <w:rFonts w:ascii="Times New Roman" w:hAnsi="Times New Roman" w:cs="Times New Roman"/>
          <w:sz w:val="24"/>
          <w:szCs w:val="24"/>
        </w:rPr>
        <w:t xml:space="preserve">physics knowledge measured on the </w:t>
      </w:r>
      <w:r w:rsidR="007113F1">
        <w:rPr>
          <w:rFonts w:ascii="Times New Roman" w:hAnsi="Times New Roman" w:cs="Times New Roman"/>
          <w:sz w:val="24"/>
          <w:szCs w:val="24"/>
        </w:rPr>
        <w:t>Force Concept Inventory (FCI</w:t>
      </w:r>
      <w:r w:rsidR="004C36F0">
        <w:rPr>
          <w:rFonts w:ascii="Times New Roman" w:hAnsi="Times New Roman" w:cs="Times New Roman"/>
          <w:sz w:val="24"/>
          <w:szCs w:val="24"/>
        </w:rPr>
        <w:t xml:space="preserve">, </w:t>
      </w:r>
      <w:r w:rsidR="007113F1">
        <w:rPr>
          <w:rFonts w:ascii="Times New Roman" w:hAnsi="Times New Roman" w:cs="Times New Roman"/>
          <w:sz w:val="24"/>
          <w:szCs w:val="24"/>
        </w:rPr>
        <w:t>Hestenes et al., 1985)</w:t>
      </w:r>
      <w:r w:rsidR="00E649F8">
        <w:rPr>
          <w:rFonts w:ascii="Times New Roman" w:hAnsi="Times New Roman" w:cs="Times New Roman"/>
          <w:sz w:val="24"/>
          <w:szCs w:val="24"/>
        </w:rPr>
        <w:t>.</w:t>
      </w:r>
      <w:r w:rsidR="00B9791E">
        <w:rPr>
          <w:rFonts w:ascii="Times New Roman" w:hAnsi="Times New Roman" w:cs="Times New Roman"/>
          <w:sz w:val="24"/>
          <w:szCs w:val="24"/>
        </w:rPr>
        <w:t xml:space="preserve"> Addressing research question two </w:t>
      </w:r>
      <w:r w:rsidR="00E649F8">
        <w:rPr>
          <w:rFonts w:ascii="Times New Roman" w:hAnsi="Times New Roman" w:cs="Times New Roman"/>
          <w:sz w:val="24"/>
          <w:szCs w:val="24"/>
        </w:rPr>
        <w:t>necessitated</w:t>
      </w:r>
      <w:r w:rsidR="00B9791E">
        <w:rPr>
          <w:rFonts w:ascii="Times New Roman" w:hAnsi="Times New Roman" w:cs="Times New Roman"/>
          <w:sz w:val="24"/>
          <w:szCs w:val="24"/>
        </w:rPr>
        <w:t xml:space="preserve"> the generation of two separate models with one including </w:t>
      </w:r>
      <w:r w:rsidR="00E649F8">
        <w:rPr>
          <w:rFonts w:ascii="Times New Roman" w:hAnsi="Times New Roman" w:cs="Times New Roman"/>
          <w:sz w:val="24"/>
          <w:szCs w:val="24"/>
        </w:rPr>
        <w:t xml:space="preserve">only </w:t>
      </w:r>
      <w:r w:rsidR="00B9791E">
        <w:rPr>
          <w:rFonts w:ascii="Times New Roman" w:hAnsi="Times New Roman" w:cs="Times New Roman"/>
          <w:sz w:val="24"/>
          <w:szCs w:val="24"/>
        </w:rPr>
        <w:t xml:space="preserve">men and the second only women. </w:t>
      </w:r>
      <w:r w:rsidR="007113F1">
        <w:rPr>
          <w:rFonts w:ascii="Times New Roman" w:hAnsi="Times New Roman" w:cs="Times New Roman"/>
          <w:sz w:val="24"/>
          <w:szCs w:val="24"/>
        </w:rPr>
        <w:t>The d</w:t>
      </w:r>
      <w:r w:rsidR="00617BD0">
        <w:rPr>
          <w:rFonts w:ascii="Times New Roman" w:hAnsi="Times New Roman" w:cs="Times New Roman"/>
          <w:sz w:val="24"/>
          <w:szCs w:val="24"/>
        </w:rPr>
        <w:t>ifferences</w:t>
      </w:r>
      <w:r w:rsidR="00B9791E">
        <w:rPr>
          <w:rFonts w:ascii="Times New Roman" w:hAnsi="Times New Roman" w:cs="Times New Roman"/>
          <w:sz w:val="24"/>
          <w:szCs w:val="24"/>
        </w:rPr>
        <w:t xml:space="preserve"> in models </w:t>
      </w:r>
      <w:r w:rsidR="007113F1">
        <w:rPr>
          <w:rFonts w:ascii="Times New Roman" w:hAnsi="Times New Roman" w:cs="Times New Roman"/>
          <w:sz w:val="24"/>
          <w:szCs w:val="24"/>
        </w:rPr>
        <w:t xml:space="preserve">were </w:t>
      </w:r>
      <w:r w:rsidR="00B9791E">
        <w:rPr>
          <w:rFonts w:ascii="Times New Roman" w:hAnsi="Times New Roman" w:cs="Times New Roman"/>
          <w:sz w:val="24"/>
          <w:szCs w:val="24"/>
        </w:rPr>
        <w:t xml:space="preserve">used to identify how </w:t>
      </w:r>
      <w:r w:rsidR="00617BD0">
        <w:rPr>
          <w:rFonts w:ascii="Times New Roman" w:hAnsi="Times New Roman" w:cs="Times New Roman"/>
          <w:sz w:val="24"/>
          <w:szCs w:val="24"/>
        </w:rPr>
        <w:t>gender</w:t>
      </w:r>
      <w:r w:rsidR="00B9791E">
        <w:rPr>
          <w:rFonts w:ascii="Times New Roman" w:hAnsi="Times New Roman" w:cs="Times New Roman"/>
          <w:sz w:val="24"/>
          <w:szCs w:val="24"/>
        </w:rPr>
        <w:t xml:space="preserve"> and self-efficacy impacts enrollment decisions in physics. </w:t>
      </w:r>
    </w:p>
    <w:p w14:paraId="53819D92" w14:textId="5FBDA42B" w:rsidR="00FB41AA" w:rsidRPr="00AD36D9" w:rsidRDefault="00FB41AA" w:rsidP="003F7FE4">
      <w:pPr>
        <w:pStyle w:val="Heading2"/>
      </w:pPr>
      <w:bookmarkStart w:id="33" w:name="_Toc349720640"/>
      <w:bookmarkStart w:id="34" w:name="_Toc350241684"/>
      <w:bookmarkStart w:id="35" w:name="_Toc351528705"/>
      <w:bookmarkStart w:id="36" w:name="_Toc117501920"/>
      <w:r w:rsidRPr="00AD36D9">
        <w:t>Research Design</w:t>
      </w:r>
      <w:bookmarkEnd w:id="33"/>
      <w:bookmarkEnd w:id="34"/>
      <w:bookmarkEnd w:id="35"/>
      <w:bookmarkEnd w:id="36"/>
    </w:p>
    <w:p w14:paraId="1CB285D8" w14:textId="0F8D9CE4" w:rsidR="00963F3D" w:rsidRDefault="00FB41AA" w:rsidP="000943B8">
      <w:pPr>
        <w:widowControl w:val="0"/>
        <w:spacing w:after="0" w:line="480" w:lineRule="auto"/>
        <w:rPr>
          <w:rFonts w:ascii="Times New Roman" w:hAnsi="Times New Roman" w:cs="Times New Roman"/>
          <w:sz w:val="24"/>
          <w:szCs w:val="24"/>
        </w:rPr>
      </w:pPr>
      <w:r w:rsidRPr="00AD36D9">
        <w:rPr>
          <w:rFonts w:ascii="Times New Roman" w:hAnsi="Times New Roman" w:cs="Times New Roman"/>
          <w:sz w:val="24"/>
          <w:szCs w:val="24"/>
        </w:rPr>
        <w:tab/>
        <w:t>Th</w:t>
      </w:r>
      <w:r w:rsidR="00F60289" w:rsidRPr="00AD36D9">
        <w:rPr>
          <w:rFonts w:ascii="Times New Roman" w:hAnsi="Times New Roman" w:cs="Times New Roman"/>
          <w:sz w:val="24"/>
          <w:szCs w:val="24"/>
        </w:rPr>
        <w:t xml:space="preserve">is </w:t>
      </w:r>
      <w:r w:rsidRPr="00AD36D9">
        <w:rPr>
          <w:rFonts w:ascii="Times New Roman" w:hAnsi="Times New Roman" w:cs="Times New Roman"/>
          <w:sz w:val="24"/>
          <w:szCs w:val="24"/>
        </w:rPr>
        <w:t>research study utilize</w:t>
      </w:r>
      <w:r w:rsidR="004121B8">
        <w:rPr>
          <w:rFonts w:ascii="Times New Roman" w:hAnsi="Times New Roman" w:cs="Times New Roman"/>
          <w:sz w:val="24"/>
          <w:szCs w:val="24"/>
        </w:rPr>
        <w:t>d</w:t>
      </w:r>
      <w:r w:rsidRPr="00AD36D9">
        <w:rPr>
          <w:rFonts w:ascii="Times New Roman" w:hAnsi="Times New Roman" w:cs="Times New Roman"/>
          <w:sz w:val="24"/>
          <w:szCs w:val="24"/>
        </w:rPr>
        <w:t xml:space="preserve"> a survey instrument designed to gather demographic information and to assess the student’s level of self-efficacy</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This instrument </w:t>
      </w:r>
      <w:r w:rsidR="004121B8">
        <w:rPr>
          <w:rFonts w:ascii="Times New Roman" w:hAnsi="Times New Roman" w:cs="Times New Roman"/>
          <w:sz w:val="24"/>
          <w:szCs w:val="24"/>
        </w:rPr>
        <w:t>was</w:t>
      </w:r>
      <w:r w:rsidRPr="00AD36D9">
        <w:rPr>
          <w:rFonts w:ascii="Times New Roman" w:hAnsi="Times New Roman" w:cs="Times New Roman"/>
          <w:sz w:val="24"/>
          <w:szCs w:val="24"/>
        </w:rPr>
        <w:t xml:space="preserve"> adapted from the SOSESC-P</w:t>
      </w:r>
      <w:r w:rsidR="00091B8A">
        <w:rPr>
          <w:rFonts w:ascii="Times New Roman" w:hAnsi="Times New Roman" w:cs="Times New Roman"/>
          <w:sz w:val="24"/>
          <w:szCs w:val="24"/>
        </w:rPr>
        <w:t xml:space="preserve"> (</w:t>
      </w:r>
      <w:r w:rsidRPr="00AD36D9">
        <w:rPr>
          <w:rFonts w:ascii="Times New Roman" w:hAnsi="Times New Roman" w:cs="Times New Roman"/>
          <w:sz w:val="24"/>
          <w:szCs w:val="24"/>
        </w:rPr>
        <w:t xml:space="preserve">Fencl </w:t>
      </w:r>
      <w:r w:rsidR="00091B8A">
        <w:rPr>
          <w:rFonts w:ascii="Times New Roman" w:hAnsi="Times New Roman" w:cs="Times New Roman"/>
          <w:sz w:val="24"/>
          <w:szCs w:val="24"/>
        </w:rPr>
        <w:t>&amp;</w:t>
      </w:r>
      <w:r w:rsidRPr="00AD36D9">
        <w:rPr>
          <w:rFonts w:ascii="Times New Roman" w:hAnsi="Times New Roman" w:cs="Times New Roman"/>
          <w:sz w:val="24"/>
          <w:szCs w:val="24"/>
        </w:rPr>
        <w:t xml:space="preserve"> Scheel</w:t>
      </w:r>
      <w:r w:rsidR="00091B8A">
        <w:rPr>
          <w:rFonts w:ascii="Times New Roman" w:hAnsi="Times New Roman" w:cs="Times New Roman"/>
          <w:sz w:val="24"/>
          <w:szCs w:val="24"/>
        </w:rPr>
        <w:t xml:space="preserve">, </w:t>
      </w:r>
      <w:r w:rsidRPr="00AD36D9">
        <w:rPr>
          <w:rFonts w:ascii="Times New Roman" w:hAnsi="Times New Roman" w:cs="Times New Roman"/>
          <w:sz w:val="24"/>
          <w:szCs w:val="24"/>
        </w:rPr>
        <w:t>2005)</w:t>
      </w:r>
      <w:r w:rsidR="00736F31" w:rsidRPr="00AD36D9">
        <w:rPr>
          <w:rFonts w:ascii="Times New Roman" w:hAnsi="Times New Roman" w:cs="Times New Roman"/>
          <w:sz w:val="24"/>
          <w:szCs w:val="24"/>
        </w:rPr>
        <w:t>.</w:t>
      </w:r>
      <w:r w:rsidR="009227B8">
        <w:rPr>
          <w:rFonts w:ascii="Times New Roman" w:hAnsi="Times New Roman" w:cs="Times New Roman"/>
          <w:sz w:val="24"/>
          <w:szCs w:val="24"/>
        </w:rPr>
        <w:t xml:space="preserve"> </w:t>
      </w:r>
      <w:r w:rsidR="009227B8" w:rsidRPr="00647AEC">
        <w:rPr>
          <w:rFonts w:ascii="Times New Roman" w:hAnsi="Times New Roman" w:cs="Times New Roman"/>
          <w:sz w:val="24"/>
          <w:szCs w:val="24"/>
        </w:rPr>
        <w:t>To control for</w:t>
      </w:r>
      <w:r w:rsidRPr="00647AEC">
        <w:rPr>
          <w:rFonts w:ascii="Times New Roman" w:hAnsi="Times New Roman" w:cs="Times New Roman"/>
          <w:sz w:val="24"/>
          <w:szCs w:val="24"/>
        </w:rPr>
        <w:t xml:space="preserve"> physics knowledge</w:t>
      </w:r>
      <w:r w:rsidR="009227B8" w:rsidRPr="00647AEC">
        <w:rPr>
          <w:rFonts w:ascii="Times New Roman" w:hAnsi="Times New Roman" w:cs="Times New Roman"/>
          <w:sz w:val="24"/>
          <w:szCs w:val="24"/>
        </w:rPr>
        <w:t xml:space="preserve"> growth (P</w:t>
      </w:r>
      <w:r w:rsidRPr="00647AEC">
        <w:rPr>
          <w:rFonts w:ascii="Times New Roman" w:hAnsi="Times New Roman" w:cs="Times New Roman"/>
          <w:sz w:val="24"/>
          <w:szCs w:val="24"/>
        </w:rPr>
        <w:t>K</w:t>
      </w:r>
      <w:r w:rsidR="009227B8" w:rsidRPr="00647AEC">
        <w:rPr>
          <w:rFonts w:ascii="Times New Roman" w:hAnsi="Times New Roman" w:cs="Times New Roman"/>
          <w:sz w:val="24"/>
          <w:szCs w:val="24"/>
        </w:rPr>
        <w:t>G</w:t>
      </w:r>
      <w:r w:rsidRPr="00647AEC">
        <w:rPr>
          <w:rFonts w:ascii="Times New Roman" w:hAnsi="Times New Roman" w:cs="Times New Roman"/>
          <w:sz w:val="24"/>
          <w:szCs w:val="24"/>
        </w:rPr>
        <w:t xml:space="preserve">), </w:t>
      </w:r>
      <w:r w:rsidR="004121B8" w:rsidRPr="00647AEC">
        <w:rPr>
          <w:rFonts w:ascii="Times New Roman" w:hAnsi="Times New Roman" w:cs="Times New Roman"/>
          <w:sz w:val="24"/>
          <w:szCs w:val="24"/>
        </w:rPr>
        <w:t>scor</w:t>
      </w:r>
      <w:r w:rsidR="004121B8">
        <w:rPr>
          <w:rFonts w:ascii="Times New Roman" w:hAnsi="Times New Roman" w:cs="Times New Roman"/>
          <w:sz w:val="24"/>
          <w:szCs w:val="24"/>
        </w:rPr>
        <w:t xml:space="preserve">es from </w:t>
      </w:r>
      <w:r w:rsidRPr="00AD36D9">
        <w:rPr>
          <w:rFonts w:ascii="Times New Roman" w:hAnsi="Times New Roman" w:cs="Times New Roman"/>
          <w:sz w:val="24"/>
          <w:szCs w:val="24"/>
        </w:rPr>
        <w:t>the FCI</w:t>
      </w:r>
      <w:r w:rsidR="004C36F0">
        <w:rPr>
          <w:rFonts w:ascii="Times New Roman" w:hAnsi="Times New Roman" w:cs="Times New Roman"/>
          <w:sz w:val="24"/>
          <w:szCs w:val="24"/>
        </w:rPr>
        <w:t xml:space="preserve"> (H</w:t>
      </w:r>
      <w:r w:rsidRPr="00AD36D9">
        <w:rPr>
          <w:rFonts w:ascii="Times New Roman" w:hAnsi="Times New Roman" w:cs="Times New Roman"/>
          <w:sz w:val="24"/>
          <w:szCs w:val="24"/>
        </w:rPr>
        <w:t>estenes</w:t>
      </w:r>
      <w:r w:rsidR="006C2E97" w:rsidRPr="00AD36D9">
        <w:rPr>
          <w:rFonts w:ascii="Times New Roman" w:hAnsi="Times New Roman" w:cs="Times New Roman"/>
          <w:sz w:val="24"/>
          <w:szCs w:val="24"/>
        </w:rPr>
        <w:t xml:space="preserve"> et al.</w:t>
      </w:r>
      <w:r w:rsidR="004C36F0">
        <w:rPr>
          <w:rFonts w:ascii="Times New Roman" w:hAnsi="Times New Roman" w:cs="Times New Roman"/>
          <w:sz w:val="24"/>
          <w:szCs w:val="24"/>
        </w:rPr>
        <w:t xml:space="preserve">, </w:t>
      </w:r>
      <w:r w:rsidRPr="00AD36D9">
        <w:rPr>
          <w:rFonts w:ascii="Times New Roman" w:hAnsi="Times New Roman" w:cs="Times New Roman"/>
          <w:sz w:val="24"/>
          <w:szCs w:val="24"/>
        </w:rPr>
        <w:t xml:space="preserve">1985) </w:t>
      </w:r>
      <w:r w:rsidR="00406FE1">
        <w:rPr>
          <w:rFonts w:ascii="Times New Roman" w:hAnsi="Times New Roman" w:cs="Times New Roman"/>
          <w:sz w:val="24"/>
          <w:szCs w:val="24"/>
        </w:rPr>
        <w:t xml:space="preserve">were </w:t>
      </w:r>
      <w:r w:rsidR="004121B8">
        <w:rPr>
          <w:rFonts w:ascii="Times New Roman" w:hAnsi="Times New Roman" w:cs="Times New Roman"/>
          <w:sz w:val="24"/>
          <w:szCs w:val="24"/>
        </w:rPr>
        <w:t>also collected</w:t>
      </w:r>
      <w:r w:rsidR="009227B8">
        <w:rPr>
          <w:rFonts w:ascii="Times New Roman" w:hAnsi="Times New Roman" w:cs="Times New Roman"/>
          <w:sz w:val="24"/>
          <w:szCs w:val="24"/>
        </w:rPr>
        <w:t xml:space="preserve"> in a pre and post-test format</w:t>
      </w:r>
      <w:r w:rsidR="00736F31" w:rsidRPr="00AD36D9">
        <w:rPr>
          <w:rFonts w:ascii="Times New Roman" w:hAnsi="Times New Roman" w:cs="Times New Roman"/>
          <w:sz w:val="24"/>
          <w:szCs w:val="24"/>
        </w:rPr>
        <w:t xml:space="preserve">. </w:t>
      </w:r>
      <w:r w:rsidR="004121B8">
        <w:rPr>
          <w:rFonts w:ascii="Times New Roman" w:hAnsi="Times New Roman" w:cs="Times New Roman"/>
          <w:sz w:val="24"/>
          <w:szCs w:val="24"/>
        </w:rPr>
        <w:t xml:space="preserve">Additionally, semester one grades (S1G) were also collected and used as a control in this study. </w:t>
      </w:r>
      <w:r w:rsidRPr="00AD36D9">
        <w:rPr>
          <w:rFonts w:ascii="Times New Roman" w:hAnsi="Times New Roman" w:cs="Times New Roman"/>
          <w:sz w:val="24"/>
          <w:szCs w:val="24"/>
        </w:rPr>
        <w:t>T</w:t>
      </w:r>
      <w:r w:rsidR="004121B8">
        <w:rPr>
          <w:rFonts w:ascii="Times New Roman" w:hAnsi="Times New Roman" w:cs="Times New Roman"/>
          <w:sz w:val="24"/>
          <w:szCs w:val="24"/>
        </w:rPr>
        <w:t>he demographic information</w:t>
      </w:r>
      <w:r w:rsidRPr="00AD36D9">
        <w:rPr>
          <w:rFonts w:ascii="Times New Roman" w:hAnsi="Times New Roman" w:cs="Times New Roman"/>
          <w:sz w:val="24"/>
          <w:szCs w:val="24"/>
        </w:rPr>
        <w:t xml:space="preserve"> gathered include</w:t>
      </w:r>
      <w:r w:rsidR="004121B8">
        <w:rPr>
          <w:rFonts w:ascii="Times New Roman" w:hAnsi="Times New Roman" w:cs="Times New Roman"/>
          <w:sz w:val="24"/>
          <w:szCs w:val="24"/>
        </w:rPr>
        <w:t>d</w:t>
      </w:r>
      <w:r w:rsidRPr="00AD36D9">
        <w:rPr>
          <w:rFonts w:ascii="Times New Roman" w:hAnsi="Times New Roman" w:cs="Times New Roman"/>
          <w:sz w:val="24"/>
          <w:szCs w:val="24"/>
        </w:rPr>
        <w:t xml:space="preserve"> gender, </w:t>
      </w:r>
      <w:r w:rsidR="00B1711F" w:rsidRPr="00AD36D9">
        <w:rPr>
          <w:rFonts w:ascii="Times New Roman" w:hAnsi="Times New Roman" w:cs="Times New Roman"/>
          <w:sz w:val="24"/>
          <w:szCs w:val="24"/>
        </w:rPr>
        <w:t>grade level</w:t>
      </w:r>
      <w:r w:rsidRPr="00AD36D9">
        <w:rPr>
          <w:rFonts w:ascii="Times New Roman" w:hAnsi="Times New Roman" w:cs="Times New Roman"/>
          <w:sz w:val="24"/>
          <w:szCs w:val="24"/>
        </w:rPr>
        <w:t xml:space="preserve">, current mathematics course, </w:t>
      </w:r>
      <w:r w:rsidR="000F2170" w:rsidRPr="00AD36D9">
        <w:rPr>
          <w:rFonts w:ascii="Times New Roman" w:hAnsi="Times New Roman" w:cs="Times New Roman"/>
          <w:sz w:val="24"/>
          <w:szCs w:val="24"/>
        </w:rPr>
        <w:t xml:space="preserve">semester one physics grade, </w:t>
      </w:r>
      <w:r w:rsidRPr="00AD36D9">
        <w:rPr>
          <w:rFonts w:ascii="Times New Roman" w:hAnsi="Times New Roman" w:cs="Times New Roman"/>
          <w:sz w:val="24"/>
          <w:szCs w:val="24"/>
        </w:rPr>
        <w:t>and science course selection for next year</w:t>
      </w:r>
      <w:r w:rsidR="00736F31" w:rsidRPr="00AD36D9">
        <w:rPr>
          <w:rFonts w:ascii="Times New Roman" w:hAnsi="Times New Roman" w:cs="Times New Roman"/>
          <w:sz w:val="24"/>
          <w:szCs w:val="24"/>
        </w:rPr>
        <w:t xml:space="preserve">. </w:t>
      </w:r>
      <w:r w:rsidR="00B1711F" w:rsidRPr="00AD36D9">
        <w:rPr>
          <w:rFonts w:ascii="Times New Roman" w:hAnsi="Times New Roman" w:cs="Times New Roman"/>
          <w:sz w:val="24"/>
          <w:szCs w:val="24"/>
        </w:rPr>
        <w:t xml:space="preserve">Inclusion of grade level and math course level </w:t>
      </w:r>
      <w:r w:rsidR="007C408C" w:rsidRPr="00AD36D9">
        <w:rPr>
          <w:rFonts w:ascii="Times New Roman" w:hAnsi="Times New Roman" w:cs="Times New Roman"/>
          <w:sz w:val="24"/>
          <w:szCs w:val="24"/>
        </w:rPr>
        <w:t>provide</w:t>
      </w:r>
      <w:r w:rsidR="007C408C">
        <w:rPr>
          <w:rFonts w:ascii="Times New Roman" w:hAnsi="Times New Roman" w:cs="Times New Roman"/>
          <w:sz w:val="24"/>
          <w:szCs w:val="24"/>
        </w:rPr>
        <w:t>d</w:t>
      </w:r>
      <w:r w:rsidR="007C408C" w:rsidRPr="00AD36D9">
        <w:rPr>
          <w:rFonts w:ascii="Times New Roman" w:hAnsi="Times New Roman" w:cs="Times New Roman"/>
          <w:sz w:val="24"/>
          <w:szCs w:val="24"/>
        </w:rPr>
        <w:t xml:space="preserve"> </w:t>
      </w:r>
      <w:r w:rsidR="00B1711F" w:rsidRPr="00AD36D9">
        <w:rPr>
          <w:rFonts w:ascii="Times New Roman" w:hAnsi="Times New Roman" w:cs="Times New Roman"/>
          <w:sz w:val="24"/>
          <w:szCs w:val="24"/>
        </w:rPr>
        <w:t xml:space="preserve">insight into the general makeup of the participants. </w:t>
      </w:r>
    </w:p>
    <w:p w14:paraId="502F3D49" w14:textId="4A555DCD" w:rsidR="006C2E97" w:rsidRPr="00647AEC" w:rsidRDefault="00963F3D" w:rsidP="00BA4A2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Most</w:t>
      </w:r>
      <w:r w:rsidR="004121B8" w:rsidRPr="00647AEC">
        <w:rPr>
          <w:rFonts w:ascii="Times New Roman" w:hAnsi="Times New Roman" w:cs="Times New Roman"/>
          <w:sz w:val="24"/>
          <w:szCs w:val="24"/>
        </w:rPr>
        <w:t xml:space="preserve"> participants were</w:t>
      </w:r>
      <w:r w:rsidR="00B1711F" w:rsidRPr="00647AEC">
        <w:rPr>
          <w:rFonts w:ascii="Times New Roman" w:hAnsi="Times New Roman" w:cs="Times New Roman"/>
          <w:sz w:val="24"/>
          <w:szCs w:val="24"/>
        </w:rPr>
        <w:t xml:space="preserve"> junior year students, but there </w:t>
      </w:r>
      <w:r w:rsidR="00E55E95" w:rsidRPr="00647AEC">
        <w:rPr>
          <w:rFonts w:ascii="Times New Roman" w:hAnsi="Times New Roman" w:cs="Times New Roman"/>
          <w:sz w:val="24"/>
          <w:szCs w:val="24"/>
        </w:rPr>
        <w:t>were</w:t>
      </w:r>
      <w:r w:rsidR="00B1711F" w:rsidRPr="00647AEC">
        <w:rPr>
          <w:rFonts w:ascii="Times New Roman" w:hAnsi="Times New Roman" w:cs="Times New Roman"/>
          <w:sz w:val="24"/>
          <w:szCs w:val="24"/>
        </w:rPr>
        <w:t xml:space="preserve"> some sophomores </w:t>
      </w:r>
      <w:r w:rsidR="00E55E95" w:rsidRPr="00647AEC">
        <w:rPr>
          <w:rFonts w:ascii="Times New Roman" w:hAnsi="Times New Roman" w:cs="Times New Roman"/>
          <w:sz w:val="24"/>
          <w:szCs w:val="24"/>
        </w:rPr>
        <w:t xml:space="preserve">included </w:t>
      </w:r>
      <w:r w:rsidR="00E55E95" w:rsidRPr="00647AEC">
        <w:rPr>
          <w:rFonts w:ascii="Times New Roman" w:hAnsi="Times New Roman" w:cs="Times New Roman"/>
          <w:sz w:val="24"/>
          <w:szCs w:val="24"/>
        </w:rPr>
        <w:lastRenderedPageBreak/>
        <w:t xml:space="preserve">who were eligible to </w:t>
      </w:r>
      <w:r w:rsidR="00617BD0" w:rsidRPr="00647AEC">
        <w:rPr>
          <w:rFonts w:ascii="Times New Roman" w:hAnsi="Times New Roman" w:cs="Times New Roman"/>
          <w:sz w:val="24"/>
          <w:szCs w:val="24"/>
        </w:rPr>
        <w:t>participate</w:t>
      </w:r>
      <w:r w:rsidR="00B1711F" w:rsidRPr="00647AEC">
        <w:rPr>
          <w:rFonts w:ascii="Times New Roman" w:hAnsi="Times New Roman" w:cs="Times New Roman"/>
          <w:sz w:val="24"/>
          <w:szCs w:val="24"/>
        </w:rPr>
        <w:t>.</w:t>
      </w:r>
      <w:r w:rsidR="00E55E95" w:rsidRPr="00647AEC">
        <w:rPr>
          <w:rFonts w:ascii="Times New Roman" w:hAnsi="Times New Roman" w:cs="Times New Roman"/>
          <w:sz w:val="24"/>
          <w:szCs w:val="24"/>
        </w:rPr>
        <w:t xml:space="preserve"> T</w:t>
      </w:r>
      <w:r w:rsidR="00FB41AA" w:rsidRPr="00647AEC">
        <w:rPr>
          <w:rFonts w:ascii="Times New Roman" w:hAnsi="Times New Roman" w:cs="Times New Roman"/>
          <w:sz w:val="24"/>
          <w:szCs w:val="24"/>
        </w:rPr>
        <w:t xml:space="preserve">he science course enrollment </w:t>
      </w:r>
      <w:r w:rsidR="00F00CC9" w:rsidRPr="00647AEC">
        <w:rPr>
          <w:rFonts w:ascii="Times New Roman" w:hAnsi="Times New Roman" w:cs="Times New Roman"/>
          <w:sz w:val="24"/>
          <w:szCs w:val="24"/>
        </w:rPr>
        <w:t>decision (ENRD)</w:t>
      </w:r>
      <w:r w:rsidR="00FB41AA" w:rsidRPr="00647AEC">
        <w:rPr>
          <w:rFonts w:ascii="Times New Roman" w:hAnsi="Times New Roman" w:cs="Times New Roman"/>
          <w:sz w:val="24"/>
          <w:szCs w:val="24"/>
        </w:rPr>
        <w:t xml:space="preserve"> of physics </w:t>
      </w:r>
      <w:r w:rsidR="007C408C">
        <w:rPr>
          <w:rFonts w:ascii="Times New Roman" w:hAnsi="Times New Roman" w:cs="Times New Roman"/>
          <w:sz w:val="24"/>
          <w:szCs w:val="24"/>
        </w:rPr>
        <w:t>was</w:t>
      </w:r>
      <w:r w:rsidR="007C408C" w:rsidRPr="00647AEC">
        <w:rPr>
          <w:rFonts w:ascii="Times New Roman" w:hAnsi="Times New Roman" w:cs="Times New Roman"/>
          <w:sz w:val="24"/>
          <w:szCs w:val="24"/>
        </w:rPr>
        <w:t xml:space="preserve"> </w:t>
      </w:r>
      <w:r w:rsidR="00FB41AA" w:rsidRPr="00647AEC">
        <w:rPr>
          <w:rFonts w:ascii="Times New Roman" w:hAnsi="Times New Roman" w:cs="Times New Roman"/>
          <w:sz w:val="24"/>
          <w:szCs w:val="24"/>
        </w:rPr>
        <w:t>the dependent variable for the study. Level of self-efficacy (LSE) measured by the SOSESC-P</w:t>
      </w:r>
      <w:r w:rsidR="00B1711F" w:rsidRPr="00647AEC">
        <w:rPr>
          <w:rFonts w:ascii="Times New Roman" w:hAnsi="Times New Roman" w:cs="Times New Roman"/>
          <w:sz w:val="24"/>
          <w:szCs w:val="24"/>
        </w:rPr>
        <w:t>,</w:t>
      </w:r>
      <w:r w:rsidR="00FB41AA" w:rsidRPr="00647AEC">
        <w:rPr>
          <w:rFonts w:ascii="Times New Roman" w:hAnsi="Times New Roman" w:cs="Times New Roman"/>
          <w:sz w:val="24"/>
          <w:szCs w:val="24"/>
        </w:rPr>
        <w:t xml:space="preserve"> </w:t>
      </w:r>
      <w:r w:rsidR="00B1711F" w:rsidRPr="00647AEC">
        <w:rPr>
          <w:rFonts w:ascii="Times New Roman" w:hAnsi="Times New Roman" w:cs="Times New Roman"/>
          <w:sz w:val="24"/>
          <w:szCs w:val="24"/>
        </w:rPr>
        <w:t xml:space="preserve">as well as gender, </w:t>
      </w:r>
      <w:r w:rsidR="007C408C">
        <w:rPr>
          <w:rFonts w:ascii="Times New Roman" w:hAnsi="Times New Roman" w:cs="Times New Roman"/>
          <w:sz w:val="24"/>
          <w:szCs w:val="24"/>
        </w:rPr>
        <w:t>were</w:t>
      </w:r>
      <w:r w:rsidR="007C408C" w:rsidRPr="00647AEC">
        <w:rPr>
          <w:rFonts w:ascii="Times New Roman" w:hAnsi="Times New Roman" w:cs="Times New Roman"/>
          <w:sz w:val="24"/>
          <w:szCs w:val="24"/>
        </w:rPr>
        <w:t xml:space="preserve"> </w:t>
      </w:r>
      <w:r w:rsidR="00FB41AA" w:rsidRPr="00647AEC">
        <w:rPr>
          <w:rFonts w:ascii="Times New Roman" w:hAnsi="Times New Roman" w:cs="Times New Roman"/>
          <w:sz w:val="24"/>
          <w:szCs w:val="24"/>
        </w:rPr>
        <w:t>the independent variable</w:t>
      </w:r>
      <w:r w:rsidR="00B1711F" w:rsidRPr="00647AEC">
        <w:rPr>
          <w:rFonts w:ascii="Times New Roman" w:hAnsi="Times New Roman" w:cs="Times New Roman"/>
          <w:sz w:val="24"/>
          <w:szCs w:val="24"/>
        </w:rPr>
        <w:t>s</w:t>
      </w:r>
      <w:r w:rsidR="00736F31" w:rsidRPr="00647AEC">
        <w:rPr>
          <w:rFonts w:ascii="Times New Roman" w:hAnsi="Times New Roman" w:cs="Times New Roman"/>
          <w:sz w:val="24"/>
          <w:szCs w:val="24"/>
        </w:rPr>
        <w:t xml:space="preserve">. </w:t>
      </w:r>
      <w:r w:rsidR="00FB41AA" w:rsidRPr="00647AEC">
        <w:rPr>
          <w:rFonts w:ascii="Times New Roman" w:hAnsi="Times New Roman" w:cs="Times New Roman"/>
          <w:sz w:val="24"/>
          <w:szCs w:val="24"/>
        </w:rPr>
        <w:t xml:space="preserve">The level of self-efficacy score </w:t>
      </w:r>
      <w:r w:rsidR="007C408C">
        <w:rPr>
          <w:rFonts w:ascii="Times New Roman" w:hAnsi="Times New Roman" w:cs="Times New Roman"/>
          <w:sz w:val="24"/>
          <w:szCs w:val="24"/>
        </w:rPr>
        <w:t>was</w:t>
      </w:r>
      <w:r w:rsidR="00FB41AA" w:rsidRPr="00647AEC">
        <w:rPr>
          <w:rFonts w:ascii="Times New Roman" w:hAnsi="Times New Roman" w:cs="Times New Roman"/>
          <w:sz w:val="24"/>
          <w:szCs w:val="24"/>
        </w:rPr>
        <w:t xml:space="preserve"> further disaggregated by each of the four sources as proposed by Bandura (1977)</w:t>
      </w:r>
      <w:r w:rsidR="00594386">
        <w:rPr>
          <w:rFonts w:ascii="Times New Roman" w:hAnsi="Times New Roman" w:cs="Times New Roman"/>
          <w:sz w:val="24"/>
          <w:szCs w:val="24"/>
        </w:rPr>
        <w:t xml:space="preserve">: </w:t>
      </w:r>
      <w:r w:rsidR="00FB41AA" w:rsidRPr="00647AEC">
        <w:rPr>
          <w:rFonts w:ascii="Times New Roman" w:hAnsi="Times New Roman" w:cs="Times New Roman"/>
          <w:sz w:val="24"/>
          <w:szCs w:val="24"/>
        </w:rPr>
        <w:t>mastery experiences (ME), vicarious learning (VL), social persuasions (SP) and physiological state (PS)</w:t>
      </w:r>
      <w:r w:rsidR="00736F31" w:rsidRPr="00647AEC">
        <w:rPr>
          <w:rFonts w:ascii="Times New Roman" w:hAnsi="Times New Roman" w:cs="Times New Roman"/>
          <w:sz w:val="24"/>
          <w:szCs w:val="24"/>
        </w:rPr>
        <w:t>.</w:t>
      </w:r>
      <w:r w:rsidR="006C2E97" w:rsidRPr="00647AEC">
        <w:rPr>
          <w:rFonts w:ascii="Times New Roman" w:hAnsi="Times New Roman" w:cs="Times New Roman"/>
          <w:sz w:val="24"/>
          <w:szCs w:val="24"/>
        </w:rPr>
        <w:t xml:space="preserve"> </w:t>
      </w:r>
    </w:p>
    <w:p w14:paraId="30315E4B" w14:textId="2604A978" w:rsidR="000F2170" w:rsidRPr="00AD36D9" w:rsidRDefault="00BF39B6" w:rsidP="00BA4A2D">
      <w:pPr>
        <w:widowControl w:val="0"/>
        <w:autoSpaceDE w:val="0"/>
        <w:autoSpaceDN w:val="0"/>
        <w:adjustRightInd w:val="0"/>
        <w:spacing w:after="0" w:line="480" w:lineRule="auto"/>
        <w:ind w:firstLine="720"/>
        <w:rPr>
          <w:rFonts w:ascii="Times New Roman" w:hAnsi="Times New Roman" w:cs="Times New Roman"/>
          <w:sz w:val="24"/>
          <w:szCs w:val="24"/>
        </w:rPr>
      </w:pPr>
      <w:r w:rsidRPr="00AD36D9">
        <w:rPr>
          <w:rFonts w:ascii="Times New Roman" w:hAnsi="Times New Roman" w:cs="Times New Roman"/>
          <w:sz w:val="24"/>
          <w:szCs w:val="24"/>
        </w:rPr>
        <w:t xml:space="preserve">Bandura’s </w:t>
      </w:r>
      <w:r w:rsidR="00594386">
        <w:rPr>
          <w:rFonts w:ascii="Times New Roman" w:hAnsi="Times New Roman" w:cs="Times New Roman"/>
          <w:sz w:val="24"/>
          <w:szCs w:val="24"/>
        </w:rPr>
        <w:t xml:space="preserve">(1977) </w:t>
      </w:r>
      <w:r w:rsidRPr="00AD36D9">
        <w:rPr>
          <w:rFonts w:ascii="Times New Roman" w:hAnsi="Times New Roman" w:cs="Times New Roman"/>
          <w:sz w:val="24"/>
          <w:szCs w:val="24"/>
        </w:rPr>
        <w:t>theory of self-efficacy includes expected sources where an individual derives their sense of perceived abilities. These sources include mastery experiences, vicarious experiences, verbal persuasion, and physiological states (Bandura, 1977)</w:t>
      </w:r>
      <w:r w:rsidR="00F6571F" w:rsidRPr="00AD36D9">
        <w:rPr>
          <w:rFonts w:ascii="Times New Roman" w:hAnsi="Times New Roman" w:cs="Times New Roman"/>
          <w:sz w:val="24"/>
          <w:szCs w:val="24"/>
        </w:rPr>
        <w:t>.</w:t>
      </w:r>
      <w:r w:rsidRPr="00AD36D9">
        <w:rPr>
          <w:rFonts w:ascii="Times New Roman" w:hAnsi="Times New Roman" w:cs="Times New Roman"/>
          <w:sz w:val="24"/>
          <w:szCs w:val="24"/>
        </w:rPr>
        <w:t xml:space="preserve"> In the physics classroom, mastery experiences include feedback on written assessments such as tests or laboratory reports. Unlike mastery experiences, vicarious experiences involve the observations of the experiences of other students (Bandura, 1977). In the physics classroom this may take the form of a student watching another student present a solution to the class. How the class and teacher respond to the accuracy of the student’s response makes up a vicarious experience. </w:t>
      </w:r>
      <w:r w:rsidR="00D7483E">
        <w:rPr>
          <w:rFonts w:ascii="Times New Roman" w:hAnsi="Times New Roman" w:cs="Times New Roman"/>
          <w:sz w:val="24"/>
          <w:szCs w:val="24"/>
        </w:rPr>
        <w:t>Social</w:t>
      </w:r>
      <w:r w:rsidRPr="00AD36D9">
        <w:rPr>
          <w:rFonts w:ascii="Times New Roman" w:hAnsi="Times New Roman" w:cs="Times New Roman"/>
          <w:sz w:val="24"/>
          <w:szCs w:val="24"/>
        </w:rPr>
        <w:t xml:space="preserve"> persuasion results from the conversations whereby and individual attempts to influence the behavior of another (Bandura, 1977). An example of this could be when a teacher provides reassurance to struggling student</w:t>
      </w:r>
      <w:r w:rsidR="00BE013F">
        <w:rPr>
          <w:rFonts w:ascii="Times New Roman" w:hAnsi="Times New Roman" w:cs="Times New Roman"/>
          <w:sz w:val="24"/>
          <w:szCs w:val="24"/>
        </w:rPr>
        <w:t>s</w:t>
      </w:r>
      <w:r w:rsidRPr="00AD36D9">
        <w:rPr>
          <w:rFonts w:ascii="Times New Roman" w:hAnsi="Times New Roman" w:cs="Times New Roman"/>
          <w:sz w:val="24"/>
          <w:szCs w:val="24"/>
        </w:rPr>
        <w:t xml:space="preserve"> that they can solve the problem or the guidance on how to approach the solution. </w:t>
      </w:r>
      <w:r w:rsidR="004C36F0">
        <w:rPr>
          <w:rFonts w:ascii="Times New Roman" w:hAnsi="Times New Roman" w:cs="Times New Roman"/>
          <w:sz w:val="24"/>
          <w:szCs w:val="24"/>
        </w:rPr>
        <w:t>The p</w:t>
      </w:r>
      <w:r w:rsidRPr="00AD36D9">
        <w:rPr>
          <w:rFonts w:ascii="Times New Roman" w:hAnsi="Times New Roman" w:cs="Times New Roman"/>
          <w:sz w:val="24"/>
          <w:szCs w:val="24"/>
        </w:rPr>
        <w:t xml:space="preserve">hysiological states include the mood that physics students find themselves in and can include arousal, </w:t>
      </w:r>
      <w:r w:rsidR="00594386" w:rsidRPr="00AD36D9">
        <w:rPr>
          <w:rFonts w:ascii="Times New Roman" w:hAnsi="Times New Roman" w:cs="Times New Roman"/>
          <w:sz w:val="24"/>
          <w:szCs w:val="24"/>
        </w:rPr>
        <w:t>tension,</w:t>
      </w:r>
      <w:r w:rsidRPr="00AD36D9">
        <w:rPr>
          <w:rFonts w:ascii="Times New Roman" w:hAnsi="Times New Roman" w:cs="Times New Roman"/>
          <w:sz w:val="24"/>
          <w:szCs w:val="24"/>
        </w:rPr>
        <w:t xml:space="preserve"> or anxiety (Bandura, 1977). </w:t>
      </w:r>
    </w:p>
    <w:p w14:paraId="0AED7839" w14:textId="77777777" w:rsidR="00FB41AA" w:rsidRPr="00AD36D9" w:rsidRDefault="00FB41AA" w:rsidP="00BA4A2D">
      <w:pPr>
        <w:pStyle w:val="Heading2"/>
      </w:pPr>
      <w:bookmarkStart w:id="37" w:name="_Toc117501921"/>
      <w:r w:rsidRPr="00AD36D9">
        <w:t>Study Population and Sample Selection</w:t>
      </w:r>
      <w:bookmarkEnd w:id="37"/>
    </w:p>
    <w:p w14:paraId="5329D236" w14:textId="2667004F" w:rsidR="00FB41AA" w:rsidRPr="00AD36D9" w:rsidRDefault="00FB41AA" w:rsidP="00BA4A2D">
      <w:pPr>
        <w:widowControl w:val="0"/>
        <w:spacing w:after="0" w:line="480" w:lineRule="auto"/>
        <w:ind w:firstLine="720"/>
        <w:rPr>
          <w:rFonts w:ascii="Times New Roman" w:hAnsi="Times New Roman" w:cs="Times New Roman"/>
          <w:sz w:val="24"/>
          <w:szCs w:val="24"/>
        </w:rPr>
      </w:pPr>
      <w:r w:rsidRPr="00AD36D9">
        <w:rPr>
          <w:rFonts w:ascii="Times New Roman" w:hAnsi="Times New Roman" w:cs="Times New Roman"/>
          <w:sz w:val="24"/>
          <w:szCs w:val="24"/>
        </w:rPr>
        <w:t xml:space="preserve">The setting for the study </w:t>
      </w:r>
      <w:r w:rsidR="007C408C">
        <w:rPr>
          <w:rFonts w:ascii="Times New Roman" w:hAnsi="Times New Roman" w:cs="Times New Roman"/>
          <w:sz w:val="24"/>
          <w:szCs w:val="24"/>
        </w:rPr>
        <w:t>was</w:t>
      </w:r>
      <w:r w:rsidR="007C408C" w:rsidRPr="00AD36D9">
        <w:rPr>
          <w:rFonts w:ascii="Times New Roman" w:hAnsi="Times New Roman" w:cs="Times New Roman"/>
          <w:sz w:val="24"/>
          <w:szCs w:val="24"/>
        </w:rPr>
        <w:t xml:space="preserve"> </w:t>
      </w:r>
      <w:r w:rsidRPr="00AD36D9">
        <w:rPr>
          <w:rFonts w:ascii="Times New Roman" w:hAnsi="Times New Roman" w:cs="Times New Roman"/>
          <w:sz w:val="24"/>
          <w:szCs w:val="24"/>
        </w:rPr>
        <w:t>a large suburban Midwest high school. The school has a measure of relative stability</w:t>
      </w:r>
      <w:r w:rsidR="00706D19" w:rsidRPr="00AD36D9">
        <w:rPr>
          <w:rFonts w:ascii="Times New Roman" w:hAnsi="Times New Roman" w:cs="Times New Roman"/>
          <w:sz w:val="24"/>
          <w:szCs w:val="24"/>
        </w:rPr>
        <w:t xml:space="preserve"> with</w:t>
      </w:r>
      <w:r w:rsidRPr="00AD36D9">
        <w:rPr>
          <w:rFonts w:ascii="Times New Roman" w:hAnsi="Times New Roman" w:cs="Times New Roman"/>
          <w:sz w:val="24"/>
          <w:szCs w:val="24"/>
        </w:rPr>
        <w:t xml:space="preserve"> a 94% graduation rate, 96% teacher retention rate and only a 3% student mobility rat</w:t>
      </w:r>
      <w:r w:rsidR="00594386">
        <w:rPr>
          <w:rFonts w:ascii="Times New Roman" w:hAnsi="Times New Roman" w:cs="Times New Roman"/>
          <w:sz w:val="24"/>
          <w:szCs w:val="24"/>
        </w:rPr>
        <w:t>e</w:t>
      </w:r>
      <w:r w:rsidRPr="00AD36D9">
        <w:rPr>
          <w:rFonts w:ascii="Times New Roman" w:hAnsi="Times New Roman" w:cs="Times New Roman"/>
          <w:sz w:val="24"/>
          <w:szCs w:val="24"/>
        </w:rPr>
        <w:t xml:space="preserve"> (</w:t>
      </w:r>
      <w:r w:rsidR="006000F2">
        <w:rPr>
          <w:rFonts w:ascii="Times New Roman" w:hAnsi="Times New Roman" w:cs="Times New Roman"/>
          <w:sz w:val="24"/>
          <w:szCs w:val="24"/>
        </w:rPr>
        <w:t>Illinois State Board of Education</w:t>
      </w:r>
      <w:r w:rsidR="006000F2" w:rsidRPr="00AD36D9" w:rsidDel="006000F2">
        <w:rPr>
          <w:rFonts w:ascii="Times New Roman" w:hAnsi="Times New Roman" w:cs="Times New Roman"/>
          <w:sz w:val="24"/>
          <w:szCs w:val="24"/>
        </w:rPr>
        <w:t xml:space="preserve"> </w:t>
      </w:r>
      <w:r w:rsidR="001326E0">
        <w:rPr>
          <w:rFonts w:ascii="Times New Roman" w:hAnsi="Times New Roman" w:cs="Times New Roman"/>
          <w:sz w:val="24"/>
          <w:szCs w:val="24"/>
        </w:rPr>
        <w:t>[ISBE]</w:t>
      </w:r>
      <w:r w:rsidRPr="00AD36D9">
        <w:rPr>
          <w:rFonts w:ascii="Times New Roman" w:hAnsi="Times New Roman" w:cs="Times New Roman"/>
          <w:sz w:val="24"/>
          <w:szCs w:val="24"/>
        </w:rPr>
        <w:t>, 2019)</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The over 4,000 student enrollment is composed of 12% low income students and 11% of the students have </w:t>
      </w:r>
      <w:r w:rsidRPr="00AD36D9">
        <w:rPr>
          <w:rFonts w:ascii="Times New Roman" w:hAnsi="Times New Roman" w:cs="Times New Roman"/>
          <w:sz w:val="24"/>
          <w:szCs w:val="24"/>
        </w:rPr>
        <w:lastRenderedPageBreak/>
        <w:t>individualized education programs (IEPs)</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Th</w:t>
      </w:r>
      <w:r w:rsidR="00706D19" w:rsidRPr="00AD36D9">
        <w:rPr>
          <w:rFonts w:ascii="Times New Roman" w:hAnsi="Times New Roman" w:cs="Times New Roman"/>
          <w:sz w:val="24"/>
          <w:szCs w:val="24"/>
        </w:rPr>
        <w:t>e</w:t>
      </w:r>
      <w:r w:rsidRPr="00AD36D9">
        <w:rPr>
          <w:rFonts w:ascii="Times New Roman" w:hAnsi="Times New Roman" w:cs="Times New Roman"/>
          <w:sz w:val="24"/>
          <w:szCs w:val="24"/>
        </w:rPr>
        <w:t xml:space="preserve"> school </w:t>
      </w:r>
      <w:r w:rsidR="007C408C">
        <w:rPr>
          <w:rFonts w:ascii="Times New Roman" w:hAnsi="Times New Roman" w:cs="Times New Roman"/>
          <w:sz w:val="24"/>
          <w:szCs w:val="24"/>
        </w:rPr>
        <w:t>was</w:t>
      </w:r>
      <w:r w:rsidR="007C408C" w:rsidRPr="00AD36D9">
        <w:rPr>
          <w:rFonts w:ascii="Times New Roman" w:hAnsi="Times New Roman" w:cs="Times New Roman"/>
          <w:sz w:val="24"/>
          <w:szCs w:val="24"/>
        </w:rPr>
        <w:t xml:space="preserve"> </w:t>
      </w:r>
      <w:r w:rsidRPr="00AD36D9">
        <w:rPr>
          <w:rFonts w:ascii="Times New Roman" w:hAnsi="Times New Roman" w:cs="Times New Roman"/>
          <w:sz w:val="24"/>
          <w:szCs w:val="24"/>
        </w:rPr>
        <w:t>composed of 72% White, 20.2% Hispanic, 3.5% Black, 2.2% Asian, 0.1% American Indian, and 2% multiple race (ISBE, 2019)</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Thirty one different AP courses are offered to the students for opportunities to earn college credit with 84% of students going on to postsecondary enrollment</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The state of Illinois utilizes the SAT as a measurement of student academic progress </w:t>
      </w:r>
      <w:r w:rsidR="00706D19" w:rsidRPr="00AD36D9">
        <w:rPr>
          <w:rFonts w:ascii="Times New Roman" w:hAnsi="Times New Roman" w:cs="Times New Roman"/>
          <w:sz w:val="24"/>
          <w:szCs w:val="24"/>
        </w:rPr>
        <w:t xml:space="preserve">and </w:t>
      </w:r>
      <w:r w:rsidRPr="00AD36D9">
        <w:rPr>
          <w:rFonts w:ascii="Times New Roman" w:hAnsi="Times New Roman" w:cs="Times New Roman"/>
          <w:sz w:val="24"/>
          <w:szCs w:val="24"/>
        </w:rPr>
        <w:t>98% of the students at this high school participated</w:t>
      </w:r>
      <w:r w:rsidR="00644D4A" w:rsidRPr="00AD36D9">
        <w:rPr>
          <w:rFonts w:ascii="Times New Roman" w:hAnsi="Times New Roman" w:cs="Times New Roman"/>
          <w:sz w:val="24"/>
          <w:szCs w:val="24"/>
        </w:rPr>
        <w:t xml:space="preserve"> in their junior year. </w:t>
      </w:r>
      <w:r w:rsidRPr="00AD36D9">
        <w:rPr>
          <w:rFonts w:ascii="Times New Roman" w:hAnsi="Times New Roman" w:cs="Times New Roman"/>
          <w:sz w:val="24"/>
          <w:szCs w:val="24"/>
        </w:rPr>
        <w:t xml:space="preserve">The average student score in both </w:t>
      </w:r>
      <w:r w:rsidR="00E502A5">
        <w:rPr>
          <w:rFonts w:ascii="Times New Roman" w:hAnsi="Times New Roman" w:cs="Times New Roman"/>
          <w:sz w:val="24"/>
          <w:szCs w:val="24"/>
        </w:rPr>
        <w:t>m</w:t>
      </w:r>
      <w:r w:rsidRPr="00AD36D9">
        <w:rPr>
          <w:rFonts w:ascii="Times New Roman" w:hAnsi="Times New Roman" w:cs="Times New Roman"/>
          <w:sz w:val="24"/>
          <w:szCs w:val="24"/>
        </w:rPr>
        <w:t>athematics and E</w:t>
      </w:r>
      <w:r w:rsidR="008B0A52">
        <w:rPr>
          <w:rFonts w:ascii="Times New Roman" w:hAnsi="Times New Roman" w:cs="Times New Roman"/>
          <w:sz w:val="24"/>
          <w:szCs w:val="24"/>
        </w:rPr>
        <w:t xml:space="preserve">nglish </w:t>
      </w:r>
      <w:r w:rsidRPr="00AD36D9">
        <w:rPr>
          <w:rFonts w:ascii="Times New Roman" w:hAnsi="Times New Roman" w:cs="Times New Roman"/>
          <w:sz w:val="24"/>
          <w:szCs w:val="24"/>
        </w:rPr>
        <w:t xml:space="preserve">were above the state averages. </w:t>
      </w:r>
    </w:p>
    <w:p w14:paraId="684B7E92" w14:textId="4C6725EC" w:rsidR="00FB41AA" w:rsidRPr="00AD36D9" w:rsidRDefault="00FB41AA" w:rsidP="00BA4A2D">
      <w:pPr>
        <w:widowControl w:val="0"/>
        <w:spacing w:after="0" w:line="480" w:lineRule="auto"/>
        <w:ind w:firstLine="720"/>
        <w:rPr>
          <w:rFonts w:ascii="Times New Roman" w:hAnsi="Times New Roman" w:cs="Times New Roman"/>
          <w:sz w:val="24"/>
          <w:szCs w:val="24"/>
        </w:rPr>
      </w:pPr>
      <w:r w:rsidRPr="00AD36D9">
        <w:rPr>
          <w:rFonts w:ascii="Times New Roman" w:hAnsi="Times New Roman" w:cs="Times New Roman"/>
          <w:sz w:val="24"/>
          <w:szCs w:val="24"/>
        </w:rPr>
        <w:t xml:space="preserve">The study population </w:t>
      </w:r>
      <w:r w:rsidR="007C408C" w:rsidRPr="00AD36D9">
        <w:rPr>
          <w:rFonts w:ascii="Times New Roman" w:hAnsi="Times New Roman" w:cs="Times New Roman"/>
          <w:sz w:val="24"/>
          <w:szCs w:val="24"/>
        </w:rPr>
        <w:t>consist</w:t>
      </w:r>
      <w:r w:rsidR="007C408C">
        <w:rPr>
          <w:rFonts w:ascii="Times New Roman" w:hAnsi="Times New Roman" w:cs="Times New Roman"/>
          <w:sz w:val="24"/>
          <w:szCs w:val="24"/>
        </w:rPr>
        <w:t>ed</w:t>
      </w:r>
      <w:r w:rsidR="007C408C"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of students who </w:t>
      </w:r>
      <w:r w:rsidR="007C408C">
        <w:rPr>
          <w:rFonts w:ascii="Times New Roman" w:hAnsi="Times New Roman" w:cs="Times New Roman"/>
          <w:sz w:val="24"/>
          <w:szCs w:val="24"/>
        </w:rPr>
        <w:t>had</w:t>
      </w:r>
      <w:r w:rsidR="007C408C"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the opportunity to take a second year of physics while in high school. A population is a group of individuals who share a common characteristic, the target population or sampling frame are those which a researcher can identify and study (Creswell &amp; Guetterman, 2015). </w:t>
      </w:r>
      <w:r w:rsidR="00617BD0">
        <w:rPr>
          <w:rFonts w:ascii="Times New Roman" w:hAnsi="Times New Roman" w:cs="Times New Roman"/>
          <w:sz w:val="24"/>
          <w:szCs w:val="24"/>
        </w:rPr>
        <w:t>Purposeful</w:t>
      </w:r>
      <w:r w:rsidRPr="00AD36D9">
        <w:rPr>
          <w:rFonts w:ascii="Times New Roman" w:hAnsi="Times New Roman" w:cs="Times New Roman"/>
          <w:sz w:val="24"/>
          <w:szCs w:val="24"/>
        </w:rPr>
        <w:t xml:space="preserve"> sampling </w:t>
      </w:r>
      <w:r w:rsidR="0033339E">
        <w:rPr>
          <w:rFonts w:ascii="Times New Roman" w:hAnsi="Times New Roman" w:cs="Times New Roman"/>
          <w:sz w:val="24"/>
          <w:szCs w:val="24"/>
        </w:rPr>
        <w:t>was</w:t>
      </w:r>
      <w:r w:rsidR="00706D19" w:rsidRPr="00AD36D9">
        <w:rPr>
          <w:rFonts w:ascii="Times New Roman" w:hAnsi="Times New Roman" w:cs="Times New Roman"/>
          <w:sz w:val="24"/>
          <w:szCs w:val="24"/>
        </w:rPr>
        <w:t xml:space="preserve"> used to select the </w:t>
      </w:r>
      <w:r w:rsidRPr="00AD36D9">
        <w:rPr>
          <w:rFonts w:ascii="Times New Roman" w:hAnsi="Times New Roman" w:cs="Times New Roman"/>
          <w:sz w:val="24"/>
          <w:szCs w:val="24"/>
        </w:rPr>
        <w:t>participants</w:t>
      </w:r>
      <w:r w:rsidR="005E74CC">
        <w:rPr>
          <w:rFonts w:ascii="Times New Roman" w:hAnsi="Times New Roman" w:cs="Times New Roman"/>
          <w:sz w:val="24"/>
          <w:szCs w:val="24"/>
        </w:rPr>
        <w:t>:</w:t>
      </w:r>
      <w:r w:rsidRPr="00AD36D9">
        <w:rPr>
          <w:rFonts w:ascii="Times New Roman" w:hAnsi="Times New Roman" w:cs="Times New Roman"/>
          <w:sz w:val="24"/>
          <w:szCs w:val="24"/>
        </w:rPr>
        <w:t xml:space="preserve"> </w:t>
      </w:r>
      <w:r w:rsidR="0033339E">
        <w:rPr>
          <w:rFonts w:ascii="Times New Roman" w:hAnsi="Times New Roman" w:cs="Times New Roman"/>
          <w:sz w:val="24"/>
          <w:szCs w:val="24"/>
        </w:rPr>
        <w:t>those invited to participate were currently enrolled in a first</w:t>
      </w:r>
      <w:r w:rsidR="0014055B">
        <w:rPr>
          <w:rFonts w:ascii="Times New Roman" w:hAnsi="Times New Roman" w:cs="Times New Roman"/>
          <w:sz w:val="24"/>
          <w:szCs w:val="24"/>
        </w:rPr>
        <w:t>-</w:t>
      </w:r>
      <w:r w:rsidR="0033339E">
        <w:rPr>
          <w:rFonts w:ascii="Times New Roman" w:hAnsi="Times New Roman" w:cs="Times New Roman"/>
          <w:sz w:val="24"/>
          <w:szCs w:val="24"/>
        </w:rPr>
        <w:t>year physics course. Additionally</w:t>
      </w:r>
      <w:r w:rsidR="0014055B">
        <w:rPr>
          <w:rFonts w:ascii="Times New Roman" w:hAnsi="Times New Roman" w:cs="Times New Roman"/>
          <w:sz w:val="24"/>
          <w:szCs w:val="24"/>
        </w:rPr>
        <w:t>,</w:t>
      </w:r>
      <w:r w:rsidR="0033339E">
        <w:rPr>
          <w:rFonts w:ascii="Times New Roman" w:hAnsi="Times New Roman" w:cs="Times New Roman"/>
          <w:sz w:val="24"/>
          <w:szCs w:val="24"/>
        </w:rPr>
        <w:t xml:space="preserve"> there was a level of convenience in this </w:t>
      </w:r>
      <w:r w:rsidRPr="00AD36D9">
        <w:rPr>
          <w:rFonts w:ascii="Times New Roman" w:hAnsi="Times New Roman" w:cs="Times New Roman"/>
          <w:sz w:val="24"/>
          <w:szCs w:val="24"/>
        </w:rPr>
        <w:t>choice of using those most readily available to the researcher at th</w:t>
      </w:r>
      <w:r w:rsidR="00F95100">
        <w:rPr>
          <w:rFonts w:ascii="Times New Roman" w:hAnsi="Times New Roman" w:cs="Times New Roman"/>
          <w:sz w:val="24"/>
          <w:szCs w:val="24"/>
        </w:rPr>
        <w:t>e</w:t>
      </w:r>
      <w:r w:rsidRPr="00AD36D9">
        <w:rPr>
          <w:rFonts w:ascii="Times New Roman" w:hAnsi="Times New Roman" w:cs="Times New Roman"/>
          <w:sz w:val="24"/>
          <w:szCs w:val="24"/>
        </w:rPr>
        <w:t xml:space="preserve"> site (Creswell &amp; Guetterman, 2015).</w:t>
      </w:r>
      <w:r w:rsidR="0033339E">
        <w:rPr>
          <w:rFonts w:ascii="Times New Roman" w:hAnsi="Times New Roman" w:cs="Times New Roman"/>
          <w:sz w:val="24"/>
          <w:szCs w:val="24"/>
        </w:rPr>
        <w:t xml:space="preserve"> </w:t>
      </w:r>
      <w:r w:rsidRPr="00AD36D9">
        <w:rPr>
          <w:rFonts w:ascii="Times New Roman" w:hAnsi="Times New Roman" w:cs="Times New Roman"/>
          <w:sz w:val="24"/>
          <w:szCs w:val="24"/>
        </w:rPr>
        <w:t xml:space="preserve">The identification of eligible participants </w:t>
      </w:r>
      <w:r w:rsidR="0033339E">
        <w:rPr>
          <w:rFonts w:ascii="Times New Roman" w:hAnsi="Times New Roman" w:cs="Times New Roman"/>
          <w:sz w:val="24"/>
          <w:szCs w:val="24"/>
        </w:rPr>
        <w:t>began</w:t>
      </w:r>
      <w:r w:rsidRPr="00AD36D9">
        <w:rPr>
          <w:rFonts w:ascii="Times New Roman" w:hAnsi="Times New Roman" w:cs="Times New Roman"/>
          <w:sz w:val="24"/>
          <w:szCs w:val="24"/>
        </w:rPr>
        <w:t xml:space="preserve"> with targeting those currently enrolled in AP Physics 1</w:t>
      </w:r>
      <w:r w:rsidR="00F95100">
        <w:rPr>
          <w:rFonts w:ascii="Times New Roman" w:hAnsi="Times New Roman" w:cs="Times New Roman"/>
          <w:sz w:val="24"/>
          <w:szCs w:val="24"/>
        </w:rPr>
        <w:t>, which included s</w:t>
      </w:r>
      <w:r w:rsidRPr="00AD36D9">
        <w:rPr>
          <w:rFonts w:ascii="Times New Roman" w:hAnsi="Times New Roman" w:cs="Times New Roman"/>
          <w:sz w:val="24"/>
          <w:szCs w:val="24"/>
        </w:rPr>
        <w:t>ophomores, juniors, and senior</w:t>
      </w:r>
      <w:r w:rsidR="00F95100">
        <w:rPr>
          <w:rFonts w:ascii="Times New Roman" w:hAnsi="Times New Roman" w:cs="Times New Roman"/>
          <w:sz w:val="24"/>
          <w:szCs w:val="24"/>
        </w:rPr>
        <w:t>s</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Senior</w:t>
      </w:r>
      <w:r w:rsidR="005E74CC">
        <w:rPr>
          <w:rFonts w:ascii="Times New Roman" w:hAnsi="Times New Roman" w:cs="Times New Roman"/>
          <w:sz w:val="24"/>
          <w:szCs w:val="24"/>
        </w:rPr>
        <w:t>s</w:t>
      </w:r>
      <w:r w:rsidRPr="00AD36D9">
        <w:rPr>
          <w:rFonts w:ascii="Times New Roman" w:hAnsi="Times New Roman" w:cs="Times New Roman"/>
          <w:sz w:val="24"/>
          <w:szCs w:val="24"/>
        </w:rPr>
        <w:t xml:space="preserve"> </w:t>
      </w:r>
      <w:r w:rsidR="007C408C">
        <w:rPr>
          <w:rFonts w:ascii="Times New Roman" w:hAnsi="Times New Roman" w:cs="Times New Roman"/>
          <w:sz w:val="24"/>
          <w:szCs w:val="24"/>
        </w:rPr>
        <w:t>were</w:t>
      </w:r>
      <w:r w:rsidRPr="00AD36D9">
        <w:rPr>
          <w:rFonts w:ascii="Times New Roman" w:hAnsi="Times New Roman" w:cs="Times New Roman"/>
          <w:sz w:val="24"/>
          <w:szCs w:val="24"/>
        </w:rPr>
        <w:t xml:space="preserve"> excluded from the sample as they </w:t>
      </w:r>
      <w:r w:rsidR="007C408C">
        <w:rPr>
          <w:rFonts w:ascii="Times New Roman" w:hAnsi="Times New Roman" w:cs="Times New Roman"/>
          <w:sz w:val="24"/>
          <w:szCs w:val="24"/>
        </w:rPr>
        <w:t>did</w:t>
      </w:r>
      <w:r w:rsidR="007C408C" w:rsidRPr="00AD36D9">
        <w:rPr>
          <w:rFonts w:ascii="Times New Roman" w:hAnsi="Times New Roman" w:cs="Times New Roman"/>
          <w:sz w:val="24"/>
          <w:szCs w:val="24"/>
        </w:rPr>
        <w:t xml:space="preserve"> </w:t>
      </w:r>
      <w:r w:rsidRPr="00AD36D9">
        <w:rPr>
          <w:rFonts w:ascii="Times New Roman" w:hAnsi="Times New Roman" w:cs="Times New Roman"/>
          <w:sz w:val="24"/>
          <w:szCs w:val="24"/>
        </w:rPr>
        <w:t>not have an opportunity for further high school course enrollment</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The second year of physics offered at this high school is AP Physics C</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There are two prerequisites of enrollment in this course</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The first is successful completion of AP Physics 1</w:t>
      </w:r>
      <w:r w:rsidR="00797580" w:rsidRPr="00AD36D9">
        <w:rPr>
          <w:rFonts w:ascii="Times New Roman" w:hAnsi="Times New Roman" w:cs="Times New Roman"/>
          <w:sz w:val="24"/>
          <w:szCs w:val="24"/>
        </w:rPr>
        <w:t xml:space="preserve"> with a grade of B or better</w:t>
      </w:r>
      <w:r w:rsidRPr="00AD36D9">
        <w:rPr>
          <w:rFonts w:ascii="Times New Roman" w:hAnsi="Times New Roman" w:cs="Times New Roman"/>
          <w:sz w:val="24"/>
          <w:szCs w:val="24"/>
        </w:rPr>
        <w:t xml:space="preserve"> and the second is credit or concurrent enrollment in an AP calculus course</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Therefore</w:t>
      </w:r>
      <w:r w:rsidR="004C1654" w:rsidRPr="00AD36D9">
        <w:rPr>
          <w:rFonts w:ascii="Times New Roman" w:hAnsi="Times New Roman" w:cs="Times New Roman"/>
          <w:sz w:val="24"/>
          <w:szCs w:val="24"/>
        </w:rPr>
        <w:t>,</w:t>
      </w:r>
      <w:r w:rsidRPr="00AD36D9">
        <w:rPr>
          <w:rFonts w:ascii="Times New Roman" w:hAnsi="Times New Roman" w:cs="Times New Roman"/>
          <w:sz w:val="24"/>
          <w:szCs w:val="24"/>
        </w:rPr>
        <w:t xml:space="preserve"> sophomores in AP Physics 1 who are enrolled in </w:t>
      </w:r>
      <w:r w:rsidR="0033339E">
        <w:rPr>
          <w:rFonts w:ascii="Times New Roman" w:hAnsi="Times New Roman" w:cs="Times New Roman"/>
          <w:sz w:val="24"/>
          <w:szCs w:val="24"/>
        </w:rPr>
        <w:t>pre-calculus</w:t>
      </w:r>
      <w:r w:rsidRPr="00AD36D9">
        <w:rPr>
          <w:rFonts w:ascii="Times New Roman" w:hAnsi="Times New Roman" w:cs="Times New Roman"/>
          <w:sz w:val="24"/>
          <w:szCs w:val="24"/>
        </w:rPr>
        <w:t xml:space="preserve"> </w:t>
      </w:r>
      <w:r w:rsidR="007C408C">
        <w:rPr>
          <w:rFonts w:ascii="Times New Roman" w:hAnsi="Times New Roman" w:cs="Times New Roman"/>
          <w:sz w:val="24"/>
          <w:szCs w:val="24"/>
        </w:rPr>
        <w:t>were allowed to</w:t>
      </w:r>
      <w:r w:rsidR="007C408C" w:rsidRPr="00AD36D9">
        <w:rPr>
          <w:rFonts w:ascii="Times New Roman" w:hAnsi="Times New Roman" w:cs="Times New Roman"/>
          <w:sz w:val="24"/>
          <w:szCs w:val="24"/>
        </w:rPr>
        <w:t xml:space="preserve"> </w:t>
      </w:r>
      <w:r w:rsidRPr="00AD36D9">
        <w:rPr>
          <w:rFonts w:ascii="Times New Roman" w:hAnsi="Times New Roman" w:cs="Times New Roman"/>
          <w:sz w:val="24"/>
          <w:szCs w:val="24"/>
        </w:rPr>
        <w:t>participat</w:t>
      </w:r>
      <w:r w:rsidR="00117A64">
        <w:rPr>
          <w:rFonts w:ascii="Times New Roman" w:hAnsi="Times New Roman" w:cs="Times New Roman"/>
          <w:sz w:val="24"/>
          <w:szCs w:val="24"/>
        </w:rPr>
        <w:t>e</w:t>
      </w:r>
      <w:r w:rsidR="00736F31" w:rsidRPr="00AD36D9">
        <w:rPr>
          <w:rFonts w:ascii="Times New Roman" w:hAnsi="Times New Roman" w:cs="Times New Roman"/>
          <w:sz w:val="24"/>
          <w:szCs w:val="24"/>
        </w:rPr>
        <w:t>.</w:t>
      </w:r>
      <w:r w:rsidRPr="00AD36D9">
        <w:rPr>
          <w:rFonts w:ascii="Times New Roman" w:hAnsi="Times New Roman" w:cs="Times New Roman"/>
          <w:sz w:val="24"/>
          <w:szCs w:val="24"/>
        </w:rPr>
        <w:t xml:space="preserve"> All students who </w:t>
      </w:r>
      <w:r w:rsidR="007C408C">
        <w:rPr>
          <w:rFonts w:ascii="Times New Roman" w:hAnsi="Times New Roman" w:cs="Times New Roman"/>
          <w:sz w:val="24"/>
          <w:szCs w:val="24"/>
        </w:rPr>
        <w:t>met</w:t>
      </w:r>
      <w:r w:rsidR="007C408C"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these criteria </w:t>
      </w:r>
      <w:r w:rsidR="0033339E">
        <w:rPr>
          <w:rFonts w:ascii="Times New Roman" w:hAnsi="Times New Roman" w:cs="Times New Roman"/>
          <w:sz w:val="24"/>
          <w:szCs w:val="24"/>
        </w:rPr>
        <w:t>were invited to participate</w:t>
      </w:r>
      <w:r w:rsidR="00117A64">
        <w:rPr>
          <w:rFonts w:ascii="Times New Roman" w:hAnsi="Times New Roman" w:cs="Times New Roman"/>
          <w:sz w:val="24"/>
          <w:szCs w:val="24"/>
        </w:rPr>
        <w:t>,</w:t>
      </w:r>
      <w:r w:rsidRPr="00AD36D9">
        <w:rPr>
          <w:rFonts w:ascii="Times New Roman" w:hAnsi="Times New Roman" w:cs="Times New Roman"/>
          <w:sz w:val="24"/>
          <w:szCs w:val="24"/>
        </w:rPr>
        <w:t xml:space="preserve"> yielding a sample size of </w:t>
      </w:r>
      <w:r w:rsidR="0033339E">
        <w:rPr>
          <w:rFonts w:ascii="Times New Roman" w:hAnsi="Times New Roman" w:cs="Times New Roman"/>
          <w:sz w:val="24"/>
          <w:szCs w:val="24"/>
        </w:rPr>
        <w:t>124</w:t>
      </w:r>
      <w:r w:rsidR="007C5AD4" w:rsidRPr="00AD36D9">
        <w:rPr>
          <w:rFonts w:ascii="Times New Roman" w:hAnsi="Times New Roman" w:cs="Times New Roman"/>
          <w:sz w:val="24"/>
          <w:szCs w:val="24"/>
        </w:rPr>
        <w:t xml:space="preserve"> </w:t>
      </w:r>
      <w:r w:rsidR="00AD1BED">
        <w:rPr>
          <w:rFonts w:ascii="Times New Roman" w:hAnsi="Times New Roman" w:cs="Times New Roman"/>
          <w:sz w:val="24"/>
          <w:szCs w:val="24"/>
        </w:rPr>
        <w:t xml:space="preserve">students. Of the 124 participants, 64 identified </w:t>
      </w:r>
      <w:r w:rsidR="00216208">
        <w:rPr>
          <w:rFonts w:ascii="Times New Roman" w:hAnsi="Times New Roman" w:cs="Times New Roman"/>
          <w:sz w:val="24"/>
          <w:szCs w:val="24"/>
        </w:rPr>
        <w:t>as</w:t>
      </w:r>
      <w:r w:rsidR="00AD1BED">
        <w:rPr>
          <w:rFonts w:ascii="Times New Roman" w:hAnsi="Times New Roman" w:cs="Times New Roman"/>
          <w:sz w:val="24"/>
          <w:szCs w:val="24"/>
        </w:rPr>
        <w:t xml:space="preserve"> men and 60 identified </w:t>
      </w:r>
      <w:r w:rsidR="00216208">
        <w:rPr>
          <w:rFonts w:ascii="Times New Roman" w:hAnsi="Times New Roman" w:cs="Times New Roman"/>
          <w:sz w:val="24"/>
          <w:szCs w:val="24"/>
        </w:rPr>
        <w:t xml:space="preserve">as </w:t>
      </w:r>
      <w:r w:rsidR="00AD1BED">
        <w:rPr>
          <w:rFonts w:ascii="Times New Roman" w:hAnsi="Times New Roman" w:cs="Times New Roman"/>
          <w:sz w:val="24"/>
          <w:szCs w:val="24"/>
        </w:rPr>
        <w:t>women</w:t>
      </w:r>
      <w:r w:rsidR="00216208">
        <w:rPr>
          <w:rFonts w:ascii="Times New Roman" w:hAnsi="Times New Roman" w:cs="Times New Roman"/>
          <w:sz w:val="24"/>
          <w:szCs w:val="24"/>
        </w:rPr>
        <w:t>,</w:t>
      </w:r>
      <w:r w:rsidR="00AD1BED">
        <w:rPr>
          <w:rFonts w:ascii="Times New Roman" w:hAnsi="Times New Roman" w:cs="Times New Roman"/>
          <w:sz w:val="24"/>
          <w:szCs w:val="24"/>
        </w:rPr>
        <w:t xml:space="preserve"> as indicated on the student </w:t>
      </w:r>
      <w:r w:rsidR="00AD1BED">
        <w:rPr>
          <w:rFonts w:ascii="Times New Roman" w:hAnsi="Times New Roman" w:cs="Times New Roman"/>
          <w:sz w:val="24"/>
          <w:szCs w:val="24"/>
        </w:rPr>
        <w:lastRenderedPageBreak/>
        <w:t xml:space="preserve">demographics survey instrument. </w:t>
      </w:r>
    </w:p>
    <w:p w14:paraId="1A27E87A" w14:textId="54E63880" w:rsidR="00FB41AA" w:rsidRPr="00AD36D9" w:rsidRDefault="00FB41AA" w:rsidP="00BA4A2D">
      <w:pPr>
        <w:widowControl w:val="0"/>
        <w:spacing w:after="0" w:line="480" w:lineRule="auto"/>
        <w:ind w:firstLine="720"/>
        <w:rPr>
          <w:rFonts w:ascii="Times New Roman" w:hAnsi="Times New Roman" w:cs="Times New Roman"/>
          <w:sz w:val="24"/>
          <w:szCs w:val="24"/>
        </w:rPr>
      </w:pPr>
      <w:r w:rsidRPr="00AD36D9">
        <w:rPr>
          <w:rFonts w:ascii="Times New Roman" w:hAnsi="Times New Roman" w:cs="Times New Roman"/>
          <w:sz w:val="24"/>
          <w:szCs w:val="24"/>
        </w:rPr>
        <w:t xml:space="preserve">Informed </w:t>
      </w:r>
      <w:r w:rsidR="008E3CA0" w:rsidRPr="00AD36D9">
        <w:rPr>
          <w:rFonts w:ascii="Times New Roman" w:hAnsi="Times New Roman" w:cs="Times New Roman"/>
          <w:sz w:val="24"/>
          <w:szCs w:val="24"/>
        </w:rPr>
        <w:t xml:space="preserve">assent </w:t>
      </w:r>
      <w:r w:rsidR="0033339E">
        <w:rPr>
          <w:rFonts w:ascii="Times New Roman" w:hAnsi="Times New Roman" w:cs="Times New Roman"/>
          <w:sz w:val="24"/>
          <w:szCs w:val="24"/>
        </w:rPr>
        <w:t>was</w:t>
      </w:r>
      <w:r w:rsidRPr="00AD36D9">
        <w:rPr>
          <w:rFonts w:ascii="Times New Roman" w:hAnsi="Times New Roman" w:cs="Times New Roman"/>
          <w:sz w:val="24"/>
          <w:szCs w:val="24"/>
        </w:rPr>
        <w:t xml:space="preserve"> obtained from participants</w:t>
      </w:r>
      <w:r w:rsidR="008E3CA0" w:rsidRPr="00AD36D9">
        <w:rPr>
          <w:rFonts w:ascii="Times New Roman" w:hAnsi="Times New Roman" w:cs="Times New Roman"/>
          <w:sz w:val="24"/>
          <w:szCs w:val="24"/>
        </w:rPr>
        <w:t xml:space="preserve"> and</w:t>
      </w:r>
      <w:r w:rsidRPr="00AD36D9">
        <w:rPr>
          <w:rFonts w:ascii="Times New Roman" w:hAnsi="Times New Roman" w:cs="Times New Roman"/>
          <w:sz w:val="24"/>
          <w:szCs w:val="24"/>
        </w:rPr>
        <w:t xml:space="preserve"> </w:t>
      </w:r>
      <w:r w:rsidR="008E3CA0" w:rsidRPr="00AD36D9">
        <w:rPr>
          <w:rFonts w:ascii="Times New Roman" w:hAnsi="Times New Roman" w:cs="Times New Roman"/>
          <w:sz w:val="24"/>
          <w:szCs w:val="24"/>
        </w:rPr>
        <w:t xml:space="preserve">informed consent </w:t>
      </w:r>
      <w:r w:rsidR="0033339E">
        <w:rPr>
          <w:rFonts w:ascii="Times New Roman" w:hAnsi="Times New Roman" w:cs="Times New Roman"/>
          <w:sz w:val="24"/>
          <w:szCs w:val="24"/>
        </w:rPr>
        <w:t>was</w:t>
      </w:r>
      <w:r w:rsidR="008E3CA0" w:rsidRPr="00AD36D9">
        <w:rPr>
          <w:rFonts w:ascii="Times New Roman" w:hAnsi="Times New Roman" w:cs="Times New Roman"/>
          <w:sz w:val="24"/>
          <w:szCs w:val="24"/>
        </w:rPr>
        <w:t xml:space="preserve"> obtained from </w:t>
      </w:r>
      <w:r w:rsidRPr="00AD36D9">
        <w:rPr>
          <w:rFonts w:ascii="Times New Roman" w:hAnsi="Times New Roman" w:cs="Times New Roman"/>
          <w:sz w:val="24"/>
          <w:szCs w:val="24"/>
        </w:rPr>
        <w:t>their parents due to their status as current high school students</w:t>
      </w:r>
      <w:r w:rsidR="0033339E">
        <w:rPr>
          <w:rFonts w:ascii="Times New Roman" w:hAnsi="Times New Roman" w:cs="Times New Roman"/>
          <w:sz w:val="24"/>
          <w:szCs w:val="24"/>
        </w:rPr>
        <w:t xml:space="preserve">. Hard copies of the Informed Consent and Informed Assent were distributed to participants. </w:t>
      </w:r>
      <w:r w:rsidR="00793B06" w:rsidRPr="00AD36D9">
        <w:rPr>
          <w:rFonts w:ascii="Times New Roman" w:hAnsi="Times New Roman" w:cs="Times New Roman"/>
          <w:sz w:val="24"/>
          <w:szCs w:val="24"/>
        </w:rPr>
        <w:t xml:space="preserve">Data on participation </w:t>
      </w:r>
      <w:r w:rsidR="0033339E">
        <w:rPr>
          <w:rFonts w:ascii="Times New Roman" w:hAnsi="Times New Roman" w:cs="Times New Roman"/>
          <w:sz w:val="24"/>
          <w:szCs w:val="24"/>
        </w:rPr>
        <w:t>was</w:t>
      </w:r>
      <w:r w:rsidR="00793B06" w:rsidRPr="00AD36D9">
        <w:rPr>
          <w:rFonts w:ascii="Times New Roman" w:hAnsi="Times New Roman" w:cs="Times New Roman"/>
          <w:sz w:val="24"/>
          <w:szCs w:val="24"/>
        </w:rPr>
        <w:t xml:space="preserve"> collected by the researcher and </w:t>
      </w:r>
      <w:r w:rsidR="0033339E">
        <w:rPr>
          <w:rFonts w:ascii="Times New Roman" w:hAnsi="Times New Roman" w:cs="Times New Roman"/>
          <w:sz w:val="24"/>
          <w:szCs w:val="24"/>
        </w:rPr>
        <w:t xml:space="preserve">did </w:t>
      </w:r>
      <w:r w:rsidR="00793B06" w:rsidRPr="00AD36D9">
        <w:rPr>
          <w:rFonts w:ascii="Times New Roman" w:hAnsi="Times New Roman" w:cs="Times New Roman"/>
          <w:sz w:val="24"/>
          <w:szCs w:val="24"/>
        </w:rPr>
        <w:t xml:space="preserve">not involve the individual classroom teachers. </w:t>
      </w:r>
      <w:r w:rsidRPr="00AD36D9">
        <w:rPr>
          <w:rFonts w:ascii="Times New Roman" w:hAnsi="Times New Roman" w:cs="Times New Roman"/>
          <w:sz w:val="24"/>
          <w:szCs w:val="24"/>
        </w:rPr>
        <w:t>The letter</w:t>
      </w:r>
      <w:r w:rsidR="008E3CA0" w:rsidRPr="00AD36D9">
        <w:rPr>
          <w:rFonts w:ascii="Times New Roman" w:hAnsi="Times New Roman" w:cs="Times New Roman"/>
          <w:sz w:val="24"/>
          <w:szCs w:val="24"/>
        </w:rPr>
        <w:t>s</w:t>
      </w:r>
      <w:r w:rsidRPr="00AD36D9">
        <w:rPr>
          <w:rFonts w:ascii="Times New Roman" w:hAnsi="Times New Roman" w:cs="Times New Roman"/>
          <w:sz w:val="24"/>
          <w:szCs w:val="24"/>
        </w:rPr>
        <w:t xml:space="preserve"> of consent </w:t>
      </w:r>
      <w:r w:rsidR="008E3CA0" w:rsidRPr="00AD36D9">
        <w:rPr>
          <w:rFonts w:ascii="Times New Roman" w:hAnsi="Times New Roman" w:cs="Times New Roman"/>
          <w:sz w:val="24"/>
          <w:szCs w:val="24"/>
        </w:rPr>
        <w:t xml:space="preserve">and assent </w:t>
      </w:r>
      <w:r w:rsidRPr="00AD36D9">
        <w:rPr>
          <w:rFonts w:ascii="Times New Roman" w:hAnsi="Times New Roman" w:cs="Times New Roman"/>
          <w:sz w:val="24"/>
          <w:szCs w:val="24"/>
        </w:rPr>
        <w:t>briefly summarize</w:t>
      </w:r>
      <w:r w:rsidR="0033339E">
        <w:rPr>
          <w:rFonts w:ascii="Times New Roman" w:hAnsi="Times New Roman" w:cs="Times New Roman"/>
          <w:sz w:val="24"/>
          <w:szCs w:val="24"/>
        </w:rPr>
        <w:t>d</w:t>
      </w:r>
      <w:r w:rsidRPr="00AD36D9">
        <w:rPr>
          <w:rFonts w:ascii="Times New Roman" w:hAnsi="Times New Roman" w:cs="Times New Roman"/>
          <w:sz w:val="24"/>
          <w:szCs w:val="24"/>
        </w:rPr>
        <w:t xml:space="preserve"> the purpose of the study and the timeline for </w:t>
      </w:r>
      <w:r w:rsidR="007C5AD4" w:rsidRPr="00AD36D9">
        <w:rPr>
          <w:rFonts w:ascii="Times New Roman" w:hAnsi="Times New Roman" w:cs="Times New Roman"/>
          <w:sz w:val="24"/>
          <w:szCs w:val="24"/>
        </w:rPr>
        <w:t>data collection</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There </w:t>
      </w:r>
      <w:r w:rsidR="00C24A19">
        <w:rPr>
          <w:rFonts w:ascii="Times New Roman" w:hAnsi="Times New Roman" w:cs="Times New Roman"/>
          <w:sz w:val="24"/>
          <w:szCs w:val="24"/>
        </w:rPr>
        <w:t>were</w:t>
      </w:r>
      <w:r w:rsidRPr="00AD36D9">
        <w:rPr>
          <w:rFonts w:ascii="Times New Roman" w:hAnsi="Times New Roman" w:cs="Times New Roman"/>
          <w:sz w:val="24"/>
          <w:szCs w:val="24"/>
        </w:rPr>
        <w:t xml:space="preserve"> no reasonably foreseeable </w:t>
      </w:r>
      <w:r w:rsidR="007C5AD4" w:rsidRPr="00AD36D9">
        <w:rPr>
          <w:rFonts w:ascii="Times New Roman" w:hAnsi="Times New Roman" w:cs="Times New Roman"/>
          <w:sz w:val="24"/>
          <w:szCs w:val="24"/>
        </w:rPr>
        <w:t xml:space="preserve">negative </w:t>
      </w:r>
      <w:r w:rsidRPr="00AD36D9">
        <w:rPr>
          <w:rFonts w:ascii="Times New Roman" w:hAnsi="Times New Roman" w:cs="Times New Roman"/>
          <w:sz w:val="24"/>
          <w:szCs w:val="24"/>
        </w:rPr>
        <w:t>consequences associated with their participation in this study or if they cho</w:t>
      </w:r>
      <w:r w:rsidR="004C1654" w:rsidRPr="00AD36D9">
        <w:rPr>
          <w:rFonts w:ascii="Times New Roman" w:hAnsi="Times New Roman" w:cs="Times New Roman"/>
          <w:sz w:val="24"/>
          <w:szCs w:val="24"/>
        </w:rPr>
        <w:t>o</w:t>
      </w:r>
      <w:r w:rsidRPr="00AD36D9">
        <w:rPr>
          <w:rFonts w:ascii="Times New Roman" w:hAnsi="Times New Roman" w:cs="Times New Roman"/>
          <w:sz w:val="24"/>
          <w:szCs w:val="24"/>
        </w:rPr>
        <w:t>se not to participate</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Participants </w:t>
      </w:r>
      <w:r w:rsidR="00C24A19">
        <w:rPr>
          <w:rFonts w:ascii="Times New Roman" w:hAnsi="Times New Roman" w:cs="Times New Roman"/>
          <w:sz w:val="24"/>
          <w:szCs w:val="24"/>
        </w:rPr>
        <w:t>were</w:t>
      </w:r>
      <w:r w:rsidRPr="00AD36D9">
        <w:rPr>
          <w:rFonts w:ascii="Times New Roman" w:hAnsi="Times New Roman" w:cs="Times New Roman"/>
          <w:sz w:val="24"/>
          <w:szCs w:val="24"/>
        </w:rPr>
        <w:t xml:space="preserve"> informed that they may choose to discontinue participation at any time without any consequences for withdrawal or refusal to participate. Participant</w:t>
      </w:r>
      <w:r w:rsidR="00797580" w:rsidRPr="00AD36D9">
        <w:rPr>
          <w:rFonts w:ascii="Times New Roman" w:hAnsi="Times New Roman" w:cs="Times New Roman"/>
          <w:sz w:val="24"/>
          <w:szCs w:val="24"/>
        </w:rPr>
        <w:t>s</w:t>
      </w:r>
      <w:r w:rsidRPr="00AD36D9">
        <w:rPr>
          <w:rFonts w:ascii="Times New Roman" w:hAnsi="Times New Roman" w:cs="Times New Roman"/>
          <w:sz w:val="24"/>
          <w:szCs w:val="24"/>
        </w:rPr>
        <w:t xml:space="preserve"> </w:t>
      </w:r>
      <w:r w:rsidR="00C24A19">
        <w:rPr>
          <w:rFonts w:ascii="Times New Roman" w:hAnsi="Times New Roman" w:cs="Times New Roman"/>
          <w:sz w:val="24"/>
          <w:szCs w:val="24"/>
        </w:rPr>
        <w:t>were</w:t>
      </w:r>
      <w:r w:rsidR="00797580" w:rsidRPr="00AD36D9">
        <w:rPr>
          <w:rFonts w:ascii="Times New Roman" w:hAnsi="Times New Roman" w:cs="Times New Roman"/>
          <w:sz w:val="24"/>
          <w:szCs w:val="24"/>
        </w:rPr>
        <w:t xml:space="preserve"> informed that </w:t>
      </w:r>
      <w:r w:rsidRPr="00AD36D9">
        <w:rPr>
          <w:rFonts w:ascii="Times New Roman" w:hAnsi="Times New Roman" w:cs="Times New Roman"/>
          <w:sz w:val="24"/>
          <w:szCs w:val="24"/>
        </w:rPr>
        <w:t>personal information</w:t>
      </w:r>
      <w:r w:rsidR="00797580" w:rsidRPr="00AD36D9">
        <w:rPr>
          <w:rFonts w:ascii="Times New Roman" w:hAnsi="Times New Roman" w:cs="Times New Roman"/>
          <w:sz w:val="24"/>
          <w:szCs w:val="24"/>
        </w:rPr>
        <w:t xml:space="preserve"> </w:t>
      </w:r>
      <w:r w:rsidR="008B0A52">
        <w:rPr>
          <w:rFonts w:ascii="Times New Roman" w:hAnsi="Times New Roman" w:cs="Times New Roman"/>
          <w:sz w:val="24"/>
          <w:szCs w:val="24"/>
        </w:rPr>
        <w:t xml:space="preserve">will </w:t>
      </w:r>
      <w:r w:rsidR="00091B8A">
        <w:rPr>
          <w:rFonts w:ascii="Times New Roman" w:hAnsi="Times New Roman" w:cs="Times New Roman"/>
          <w:sz w:val="24"/>
          <w:szCs w:val="24"/>
        </w:rPr>
        <w:t>be</w:t>
      </w:r>
      <w:r w:rsidR="008B0A52" w:rsidRPr="00AD36D9">
        <w:rPr>
          <w:rFonts w:ascii="Times New Roman" w:hAnsi="Times New Roman" w:cs="Times New Roman"/>
          <w:sz w:val="24"/>
          <w:szCs w:val="24"/>
        </w:rPr>
        <w:t xml:space="preserve"> </w:t>
      </w:r>
      <w:r w:rsidRPr="00AD36D9">
        <w:rPr>
          <w:rFonts w:ascii="Times New Roman" w:hAnsi="Times New Roman" w:cs="Times New Roman"/>
          <w:sz w:val="24"/>
          <w:szCs w:val="24"/>
        </w:rPr>
        <w:t>kept confidential at all times</w:t>
      </w:r>
      <w:r w:rsidR="003457FE" w:rsidRPr="00AD36D9">
        <w:rPr>
          <w:rFonts w:ascii="Times New Roman" w:hAnsi="Times New Roman" w:cs="Times New Roman"/>
          <w:sz w:val="24"/>
          <w:szCs w:val="24"/>
        </w:rPr>
        <w:t xml:space="preserve"> through the use of</w:t>
      </w:r>
      <w:r w:rsidR="00F6571F" w:rsidRPr="00AD36D9">
        <w:rPr>
          <w:rFonts w:ascii="Times New Roman" w:hAnsi="Times New Roman" w:cs="Times New Roman"/>
          <w:sz w:val="24"/>
          <w:szCs w:val="24"/>
        </w:rPr>
        <w:t xml:space="preserve"> student ID numbers.</w:t>
      </w:r>
      <w:r w:rsidR="00793B06" w:rsidRPr="00AD36D9">
        <w:rPr>
          <w:rFonts w:ascii="Times New Roman" w:hAnsi="Times New Roman" w:cs="Times New Roman"/>
          <w:sz w:val="24"/>
          <w:szCs w:val="24"/>
        </w:rPr>
        <w:t xml:space="preserve"> This unique ID number </w:t>
      </w:r>
      <w:r w:rsidR="00C24A19">
        <w:rPr>
          <w:rFonts w:ascii="Times New Roman" w:hAnsi="Times New Roman" w:cs="Times New Roman"/>
          <w:sz w:val="24"/>
          <w:szCs w:val="24"/>
        </w:rPr>
        <w:t>was</w:t>
      </w:r>
      <w:r w:rsidR="00793B06" w:rsidRPr="00AD36D9">
        <w:rPr>
          <w:rFonts w:ascii="Times New Roman" w:hAnsi="Times New Roman" w:cs="Times New Roman"/>
          <w:sz w:val="24"/>
          <w:szCs w:val="24"/>
        </w:rPr>
        <w:t xml:space="preserve"> included on the letters of consent, surveys, and assessments given as part of this study. The researcher </w:t>
      </w:r>
      <w:r w:rsidR="00C24A19">
        <w:rPr>
          <w:rFonts w:ascii="Times New Roman" w:hAnsi="Times New Roman" w:cs="Times New Roman"/>
          <w:sz w:val="24"/>
          <w:szCs w:val="24"/>
        </w:rPr>
        <w:t>was</w:t>
      </w:r>
      <w:r w:rsidR="00793B06" w:rsidRPr="00AD36D9">
        <w:rPr>
          <w:rFonts w:ascii="Times New Roman" w:hAnsi="Times New Roman" w:cs="Times New Roman"/>
          <w:sz w:val="24"/>
          <w:szCs w:val="24"/>
        </w:rPr>
        <w:t xml:space="preserve"> the only one who has access to this data </w:t>
      </w:r>
      <w:r w:rsidR="00091B8A" w:rsidRPr="00AD36D9">
        <w:rPr>
          <w:rFonts w:ascii="Times New Roman" w:hAnsi="Times New Roman" w:cs="Times New Roman"/>
          <w:sz w:val="24"/>
          <w:szCs w:val="24"/>
        </w:rPr>
        <w:t>except for</w:t>
      </w:r>
      <w:r w:rsidR="00F6571F" w:rsidRPr="00AD36D9">
        <w:rPr>
          <w:rFonts w:ascii="Times New Roman" w:hAnsi="Times New Roman" w:cs="Times New Roman"/>
          <w:sz w:val="24"/>
          <w:szCs w:val="24"/>
        </w:rPr>
        <w:t xml:space="preserve"> the F</w:t>
      </w:r>
      <w:r w:rsidR="008B0A52">
        <w:rPr>
          <w:rFonts w:ascii="Times New Roman" w:hAnsi="Times New Roman" w:cs="Times New Roman"/>
          <w:sz w:val="24"/>
          <w:szCs w:val="24"/>
        </w:rPr>
        <w:t>CI</w:t>
      </w:r>
      <w:r w:rsidR="00F6571F" w:rsidRPr="00AD36D9">
        <w:rPr>
          <w:rFonts w:ascii="Times New Roman" w:hAnsi="Times New Roman" w:cs="Times New Roman"/>
          <w:sz w:val="24"/>
          <w:szCs w:val="24"/>
        </w:rPr>
        <w:t xml:space="preserve">. </w:t>
      </w:r>
      <w:r w:rsidR="00793B06" w:rsidRPr="00AD36D9">
        <w:rPr>
          <w:rFonts w:ascii="Times New Roman" w:hAnsi="Times New Roman" w:cs="Times New Roman"/>
          <w:sz w:val="24"/>
          <w:szCs w:val="24"/>
        </w:rPr>
        <w:t>Individual teachers will have access to FCI scores as this is part of the yearly high school curriculum.</w:t>
      </w:r>
    </w:p>
    <w:p w14:paraId="080E5AA7" w14:textId="2FC26186" w:rsidR="00FB41AA" w:rsidRPr="00AD36D9" w:rsidRDefault="00FB41AA" w:rsidP="00BA4A2D">
      <w:pPr>
        <w:pStyle w:val="Heading2"/>
      </w:pPr>
      <w:bookmarkStart w:id="38" w:name="_Toc117501922"/>
      <w:r w:rsidRPr="00AD36D9">
        <w:t>Instrumentation</w:t>
      </w:r>
      <w:bookmarkEnd w:id="38"/>
    </w:p>
    <w:p w14:paraId="1F3F5898" w14:textId="67D79E99" w:rsidR="00797580" w:rsidRPr="00E85621" w:rsidRDefault="00793B06" w:rsidP="00BA4A2D">
      <w:pPr>
        <w:widowControl w:val="0"/>
        <w:spacing w:after="0" w:line="480" w:lineRule="auto"/>
        <w:ind w:firstLine="720"/>
        <w:rPr>
          <w:rFonts w:ascii="Times New Roman" w:hAnsi="Times New Roman" w:cs="Times New Roman"/>
          <w:sz w:val="24"/>
          <w:szCs w:val="24"/>
        </w:rPr>
      </w:pPr>
      <w:r w:rsidRPr="00AD36D9">
        <w:rPr>
          <w:rFonts w:ascii="Times New Roman" w:hAnsi="Times New Roman" w:cs="Times New Roman"/>
          <w:sz w:val="24"/>
          <w:szCs w:val="24"/>
        </w:rPr>
        <w:t xml:space="preserve">Two </w:t>
      </w:r>
      <w:r w:rsidR="00FB41AA" w:rsidRPr="00AD36D9">
        <w:rPr>
          <w:rFonts w:ascii="Times New Roman" w:hAnsi="Times New Roman" w:cs="Times New Roman"/>
          <w:sz w:val="24"/>
          <w:szCs w:val="24"/>
        </w:rPr>
        <w:t xml:space="preserve">separate instruments </w:t>
      </w:r>
      <w:r w:rsidR="00C24A19">
        <w:rPr>
          <w:rFonts w:ascii="Times New Roman" w:hAnsi="Times New Roman" w:cs="Times New Roman"/>
          <w:sz w:val="24"/>
          <w:szCs w:val="24"/>
        </w:rPr>
        <w:t>were</w:t>
      </w:r>
      <w:r w:rsidR="00FB41AA" w:rsidRPr="00AD36D9">
        <w:rPr>
          <w:rFonts w:ascii="Times New Roman" w:hAnsi="Times New Roman" w:cs="Times New Roman"/>
          <w:sz w:val="24"/>
          <w:szCs w:val="24"/>
        </w:rPr>
        <w:t xml:space="preserve"> administered</w:t>
      </w:r>
      <w:r w:rsidR="00C24A19">
        <w:rPr>
          <w:rFonts w:ascii="Times New Roman" w:hAnsi="Times New Roman" w:cs="Times New Roman"/>
          <w:sz w:val="24"/>
          <w:szCs w:val="24"/>
        </w:rPr>
        <w:t xml:space="preserve"> </w:t>
      </w:r>
      <w:r w:rsidR="00617BD0">
        <w:rPr>
          <w:rFonts w:ascii="Times New Roman" w:hAnsi="Times New Roman" w:cs="Times New Roman"/>
          <w:sz w:val="24"/>
          <w:szCs w:val="24"/>
        </w:rPr>
        <w:t>simultaneously</w:t>
      </w:r>
      <w:r w:rsidR="008B0A52">
        <w:rPr>
          <w:rFonts w:ascii="Times New Roman" w:hAnsi="Times New Roman" w:cs="Times New Roman"/>
          <w:sz w:val="24"/>
          <w:szCs w:val="24"/>
        </w:rPr>
        <w:t xml:space="preserve"> and both</w:t>
      </w:r>
      <w:r w:rsidR="00FB41AA" w:rsidRPr="00AD36D9">
        <w:rPr>
          <w:rFonts w:ascii="Times New Roman" w:hAnsi="Times New Roman" w:cs="Times New Roman"/>
          <w:sz w:val="24"/>
          <w:szCs w:val="24"/>
        </w:rPr>
        <w:t xml:space="preserve"> </w:t>
      </w:r>
      <w:r w:rsidR="00C24A19">
        <w:rPr>
          <w:rFonts w:ascii="Times New Roman" w:hAnsi="Times New Roman" w:cs="Times New Roman"/>
          <w:sz w:val="24"/>
          <w:szCs w:val="24"/>
        </w:rPr>
        <w:t>were</w:t>
      </w:r>
      <w:r w:rsidR="00FB41AA" w:rsidRPr="00AD36D9">
        <w:rPr>
          <w:rFonts w:ascii="Times New Roman" w:hAnsi="Times New Roman" w:cs="Times New Roman"/>
          <w:sz w:val="24"/>
          <w:szCs w:val="24"/>
        </w:rPr>
        <w:t xml:space="preserve"> linked to  participant</w:t>
      </w:r>
      <w:r w:rsidR="0024458C">
        <w:rPr>
          <w:rFonts w:ascii="Times New Roman" w:hAnsi="Times New Roman" w:cs="Times New Roman"/>
          <w:sz w:val="24"/>
          <w:szCs w:val="24"/>
        </w:rPr>
        <w:t>s</w:t>
      </w:r>
      <w:r w:rsidR="00FB41AA" w:rsidRPr="00AD36D9">
        <w:rPr>
          <w:rFonts w:ascii="Times New Roman" w:hAnsi="Times New Roman" w:cs="Times New Roman"/>
          <w:sz w:val="24"/>
          <w:szCs w:val="24"/>
        </w:rPr>
        <w:t xml:space="preserve"> via a </w:t>
      </w:r>
      <w:r w:rsidRPr="00AD36D9">
        <w:rPr>
          <w:rFonts w:ascii="Times New Roman" w:hAnsi="Times New Roman" w:cs="Times New Roman"/>
          <w:sz w:val="24"/>
          <w:szCs w:val="24"/>
        </w:rPr>
        <w:t xml:space="preserve">school generated </w:t>
      </w:r>
      <w:r w:rsidR="00FB41AA" w:rsidRPr="00AD36D9">
        <w:rPr>
          <w:rFonts w:ascii="Times New Roman" w:hAnsi="Times New Roman" w:cs="Times New Roman"/>
          <w:sz w:val="24"/>
          <w:szCs w:val="24"/>
        </w:rPr>
        <w:t>student ID number</w:t>
      </w:r>
      <w:r w:rsidR="00736F31" w:rsidRPr="00AD36D9">
        <w:rPr>
          <w:rFonts w:ascii="Times New Roman" w:hAnsi="Times New Roman" w:cs="Times New Roman"/>
          <w:sz w:val="24"/>
          <w:szCs w:val="24"/>
        </w:rPr>
        <w:t xml:space="preserve">. </w:t>
      </w:r>
      <w:r w:rsidR="00FB41AA" w:rsidRPr="00AD36D9">
        <w:rPr>
          <w:rFonts w:ascii="Times New Roman" w:hAnsi="Times New Roman" w:cs="Times New Roman"/>
          <w:sz w:val="24"/>
          <w:szCs w:val="24"/>
        </w:rPr>
        <w:t xml:space="preserve">The student ID number </w:t>
      </w:r>
      <w:r w:rsidR="007C408C">
        <w:rPr>
          <w:rFonts w:ascii="Times New Roman" w:hAnsi="Times New Roman" w:cs="Times New Roman"/>
          <w:sz w:val="24"/>
          <w:szCs w:val="24"/>
        </w:rPr>
        <w:t>was</w:t>
      </w:r>
      <w:r w:rsidR="007C408C" w:rsidRPr="00AD36D9">
        <w:rPr>
          <w:rFonts w:ascii="Times New Roman" w:hAnsi="Times New Roman" w:cs="Times New Roman"/>
          <w:sz w:val="24"/>
          <w:szCs w:val="24"/>
        </w:rPr>
        <w:t xml:space="preserve"> </w:t>
      </w:r>
      <w:r w:rsidR="00FB41AA" w:rsidRPr="00AD36D9">
        <w:rPr>
          <w:rFonts w:ascii="Times New Roman" w:hAnsi="Times New Roman" w:cs="Times New Roman"/>
          <w:sz w:val="24"/>
          <w:szCs w:val="24"/>
        </w:rPr>
        <w:t>the only way to associate the responses with participants</w:t>
      </w:r>
      <w:r w:rsidR="00736F31" w:rsidRPr="00AD36D9">
        <w:rPr>
          <w:rFonts w:ascii="Times New Roman" w:hAnsi="Times New Roman" w:cs="Times New Roman"/>
          <w:sz w:val="24"/>
          <w:szCs w:val="24"/>
        </w:rPr>
        <w:t xml:space="preserve">. </w:t>
      </w:r>
      <w:r w:rsidR="00FB41AA" w:rsidRPr="00AD36D9">
        <w:rPr>
          <w:rFonts w:ascii="Times New Roman" w:hAnsi="Times New Roman" w:cs="Times New Roman"/>
          <w:sz w:val="24"/>
          <w:szCs w:val="24"/>
        </w:rPr>
        <w:t xml:space="preserve">The list of participant names and coupled ID numbers </w:t>
      </w:r>
      <w:r w:rsidR="007C408C">
        <w:rPr>
          <w:rFonts w:ascii="Times New Roman" w:hAnsi="Times New Roman" w:cs="Times New Roman"/>
          <w:sz w:val="24"/>
          <w:szCs w:val="24"/>
        </w:rPr>
        <w:t>were</w:t>
      </w:r>
      <w:r w:rsidR="007C408C" w:rsidRPr="00AD36D9">
        <w:rPr>
          <w:rFonts w:ascii="Times New Roman" w:hAnsi="Times New Roman" w:cs="Times New Roman"/>
          <w:sz w:val="24"/>
          <w:szCs w:val="24"/>
        </w:rPr>
        <w:t xml:space="preserve"> </w:t>
      </w:r>
      <w:r w:rsidR="00FB41AA" w:rsidRPr="00AD36D9">
        <w:rPr>
          <w:rFonts w:ascii="Times New Roman" w:hAnsi="Times New Roman" w:cs="Times New Roman"/>
          <w:sz w:val="24"/>
          <w:szCs w:val="24"/>
        </w:rPr>
        <w:t xml:space="preserve">kept securely and </w:t>
      </w:r>
      <w:r w:rsidR="00502838" w:rsidRPr="00AD36D9">
        <w:rPr>
          <w:rFonts w:ascii="Times New Roman" w:hAnsi="Times New Roman" w:cs="Times New Roman"/>
          <w:sz w:val="24"/>
          <w:szCs w:val="24"/>
        </w:rPr>
        <w:t>electronically b</w:t>
      </w:r>
      <w:r w:rsidR="00FB41AA" w:rsidRPr="00AD36D9">
        <w:rPr>
          <w:rFonts w:ascii="Times New Roman" w:hAnsi="Times New Roman" w:cs="Times New Roman"/>
          <w:sz w:val="24"/>
          <w:szCs w:val="24"/>
        </w:rPr>
        <w:t>y the researcher</w:t>
      </w:r>
      <w:r w:rsidR="00502838" w:rsidRPr="00AD36D9">
        <w:rPr>
          <w:rFonts w:ascii="Times New Roman" w:hAnsi="Times New Roman" w:cs="Times New Roman"/>
          <w:sz w:val="24"/>
          <w:szCs w:val="24"/>
        </w:rPr>
        <w:t xml:space="preserve"> on a laptop computer</w:t>
      </w:r>
      <w:r w:rsidR="00736F31" w:rsidRPr="00AD36D9">
        <w:rPr>
          <w:rFonts w:ascii="Times New Roman" w:hAnsi="Times New Roman" w:cs="Times New Roman"/>
          <w:sz w:val="24"/>
          <w:szCs w:val="24"/>
        </w:rPr>
        <w:t>.</w:t>
      </w:r>
      <w:r w:rsidR="00D558FD" w:rsidRPr="00AD36D9">
        <w:rPr>
          <w:rFonts w:ascii="Times New Roman" w:hAnsi="Times New Roman" w:cs="Times New Roman"/>
          <w:sz w:val="24"/>
          <w:szCs w:val="24"/>
        </w:rPr>
        <w:t xml:space="preserve"> </w:t>
      </w:r>
      <w:r w:rsidR="00FB41AA" w:rsidRPr="00AD36D9">
        <w:rPr>
          <w:rFonts w:ascii="Times New Roman" w:hAnsi="Times New Roman" w:cs="Times New Roman"/>
          <w:sz w:val="24"/>
          <w:szCs w:val="24"/>
        </w:rPr>
        <w:t xml:space="preserve">The data for this study </w:t>
      </w:r>
      <w:r w:rsidR="00C24A19">
        <w:rPr>
          <w:rFonts w:ascii="Times New Roman" w:hAnsi="Times New Roman" w:cs="Times New Roman"/>
          <w:sz w:val="24"/>
          <w:szCs w:val="24"/>
        </w:rPr>
        <w:t>was</w:t>
      </w:r>
      <w:r w:rsidR="00FB41AA" w:rsidRPr="00AD36D9">
        <w:rPr>
          <w:rFonts w:ascii="Times New Roman" w:hAnsi="Times New Roman" w:cs="Times New Roman"/>
          <w:sz w:val="24"/>
          <w:szCs w:val="24"/>
        </w:rPr>
        <w:t xml:space="preserve"> sequentially collected according to </w:t>
      </w:r>
      <w:r w:rsidR="00691EA1">
        <w:rPr>
          <w:rFonts w:ascii="Times New Roman" w:hAnsi="Times New Roman" w:cs="Times New Roman"/>
          <w:sz w:val="24"/>
          <w:szCs w:val="24"/>
        </w:rPr>
        <w:t>a</w:t>
      </w:r>
      <w:r w:rsidR="00691EA1" w:rsidRPr="00AD36D9">
        <w:rPr>
          <w:rFonts w:ascii="Times New Roman" w:hAnsi="Times New Roman" w:cs="Times New Roman"/>
          <w:sz w:val="24"/>
          <w:szCs w:val="24"/>
        </w:rPr>
        <w:t xml:space="preserve"> </w:t>
      </w:r>
      <w:r w:rsidR="00E85621">
        <w:rPr>
          <w:rFonts w:ascii="Times New Roman" w:hAnsi="Times New Roman" w:cs="Times New Roman"/>
          <w:sz w:val="24"/>
          <w:szCs w:val="24"/>
        </w:rPr>
        <w:t>timeline</w:t>
      </w:r>
      <w:r w:rsidR="001E6225" w:rsidRPr="00AD36D9">
        <w:rPr>
          <w:rFonts w:ascii="Times New Roman" w:hAnsi="Times New Roman" w:cs="Times New Roman"/>
          <w:sz w:val="24"/>
          <w:szCs w:val="24"/>
        </w:rPr>
        <w:t xml:space="preserve"> coincid</w:t>
      </w:r>
      <w:r w:rsidR="00296C06">
        <w:rPr>
          <w:rFonts w:ascii="Times New Roman" w:hAnsi="Times New Roman" w:cs="Times New Roman"/>
          <w:sz w:val="24"/>
          <w:szCs w:val="24"/>
        </w:rPr>
        <w:t>ing</w:t>
      </w:r>
      <w:r w:rsidR="001E6225" w:rsidRPr="00AD36D9">
        <w:rPr>
          <w:rFonts w:ascii="Times New Roman" w:hAnsi="Times New Roman" w:cs="Times New Roman"/>
          <w:sz w:val="24"/>
          <w:szCs w:val="24"/>
        </w:rPr>
        <w:t xml:space="preserve"> with the school’s timeline for student course selections for the following</w:t>
      </w:r>
      <w:r w:rsidR="00D558FD" w:rsidRPr="00AD36D9">
        <w:rPr>
          <w:rFonts w:ascii="Times New Roman" w:hAnsi="Times New Roman" w:cs="Times New Roman"/>
          <w:sz w:val="24"/>
          <w:szCs w:val="24"/>
        </w:rPr>
        <w:t xml:space="preserve"> year. The </w:t>
      </w:r>
      <w:r w:rsidR="008B0A52">
        <w:rPr>
          <w:rFonts w:ascii="Times New Roman" w:hAnsi="Times New Roman" w:cs="Times New Roman"/>
          <w:sz w:val="24"/>
          <w:szCs w:val="24"/>
        </w:rPr>
        <w:t>FCI</w:t>
      </w:r>
      <w:r w:rsidR="00797580" w:rsidRPr="00AD36D9">
        <w:rPr>
          <w:rFonts w:ascii="Times New Roman" w:hAnsi="Times New Roman" w:cs="Times New Roman"/>
          <w:sz w:val="24"/>
          <w:szCs w:val="24"/>
        </w:rPr>
        <w:t xml:space="preserve"> is given yearly in mid-January of each school year and data </w:t>
      </w:r>
      <w:r w:rsidR="00296C06">
        <w:rPr>
          <w:rFonts w:ascii="Times New Roman" w:hAnsi="Times New Roman" w:cs="Times New Roman"/>
          <w:sz w:val="24"/>
          <w:szCs w:val="24"/>
        </w:rPr>
        <w:t>were</w:t>
      </w:r>
      <w:r w:rsidR="00296C06" w:rsidRPr="00AD36D9">
        <w:rPr>
          <w:rFonts w:ascii="Times New Roman" w:hAnsi="Times New Roman" w:cs="Times New Roman"/>
          <w:sz w:val="24"/>
          <w:szCs w:val="24"/>
        </w:rPr>
        <w:t xml:space="preserve"> </w:t>
      </w:r>
      <w:r w:rsidR="007D4D2E">
        <w:rPr>
          <w:rFonts w:ascii="Times New Roman" w:hAnsi="Times New Roman" w:cs="Times New Roman"/>
          <w:sz w:val="24"/>
          <w:szCs w:val="24"/>
        </w:rPr>
        <w:t>available for collection after</w:t>
      </w:r>
      <w:r w:rsidR="00F6571F" w:rsidRPr="00AD36D9">
        <w:rPr>
          <w:rFonts w:ascii="Times New Roman" w:hAnsi="Times New Roman" w:cs="Times New Roman"/>
          <w:sz w:val="24"/>
          <w:szCs w:val="24"/>
        </w:rPr>
        <w:t xml:space="preserve"> the second week </w:t>
      </w:r>
      <w:r w:rsidR="007D4D2E">
        <w:rPr>
          <w:rFonts w:ascii="Times New Roman" w:hAnsi="Times New Roman" w:cs="Times New Roman"/>
          <w:sz w:val="24"/>
          <w:szCs w:val="24"/>
        </w:rPr>
        <w:t>of</w:t>
      </w:r>
      <w:r w:rsidR="00F6571F" w:rsidRPr="00AD36D9">
        <w:rPr>
          <w:rFonts w:ascii="Times New Roman" w:hAnsi="Times New Roman" w:cs="Times New Roman"/>
          <w:sz w:val="24"/>
          <w:szCs w:val="24"/>
        </w:rPr>
        <w:t xml:space="preserve"> January</w:t>
      </w:r>
      <w:r w:rsidR="007D4D2E">
        <w:rPr>
          <w:rFonts w:ascii="Times New Roman" w:hAnsi="Times New Roman" w:cs="Times New Roman"/>
          <w:sz w:val="24"/>
          <w:szCs w:val="24"/>
        </w:rPr>
        <w:t xml:space="preserve"> after all necessary approvals </w:t>
      </w:r>
      <w:r w:rsidR="0065494F">
        <w:rPr>
          <w:rFonts w:ascii="Times New Roman" w:hAnsi="Times New Roman" w:cs="Times New Roman"/>
          <w:sz w:val="24"/>
          <w:szCs w:val="24"/>
        </w:rPr>
        <w:t xml:space="preserve">were </w:t>
      </w:r>
      <w:r w:rsidR="007D4D2E">
        <w:rPr>
          <w:rFonts w:ascii="Times New Roman" w:hAnsi="Times New Roman" w:cs="Times New Roman"/>
          <w:sz w:val="24"/>
          <w:szCs w:val="24"/>
        </w:rPr>
        <w:t>obtained</w:t>
      </w:r>
      <w:r w:rsidR="00F6571F" w:rsidRPr="00AD36D9">
        <w:rPr>
          <w:rFonts w:ascii="Times New Roman" w:hAnsi="Times New Roman" w:cs="Times New Roman"/>
          <w:sz w:val="24"/>
          <w:szCs w:val="24"/>
        </w:rPr>
        <w:t xml:space="preserve">. </w:t>
      </w:r>
      <w:r w:rsidR="00797580" w:rsidRPr="00AD36D9">
        <w:rPr>
          <w:rFonts w:ascii="Times New Roman" w:hAnsi="Times New Roman" w:cs="Times New Roman"/>
          <w:sz w:val="24"/>
          <w:szCs w:val="24"/>
        </w:rPr>
        <w:t>The Student Demographics Survey an</w:t>
      </w:r>
      <w:r w:rsidR="007D4D2E">
        <w:rPr>
          <w:rFonts w:ascii="Times New Roman" w:hAnsi="Times New Roman" w:cs="Times New Roman"/>
          <w:sz w:val="24"/>
          <w:szCs w:val="24"/>
        </w:rPr>
        <w:t xml:space="preserve">d </w:t>
      </w:r>
      <w:r w:rsidR="00797580" w:rsidRPr="00AD36D9">
        <w:rPr>
          <w:rFonts w:ascii="Times New Roman" w:hAnsi="Times New Roman" w:cs="Times New Roman"/>
          <w:sz w:val="24"/>
          <w:szCs w:val="24"/>
        </w:rPr>
        <w:lastRenderedPageBreak/>
        <w:t>SOSESC-P</w:t>
      </w:r>
      <w:r w:rsidR="008B0A52">
        <w:rPr>
          <w:rFonts w:ascii="Times New Roman" w:hAnsi="Times New Roman" w:cs="Times New Roman"/>
          <w:sz w:val="24"/>
          <w:szCs w:val="24"/>
        </w:rPr>
        <w:t xml:space="preserve"> were</w:t>
      </w:r>
      <w:r w:rsidR="00797580" w:rsidRPr="00AD36D9">
        <w:rPr>
          <w:rFonts w:ascii="Times New Roman" w:hAnsi="Times New Roman" w:cs="Times New Roman"/>
          <w:sz w:val="24"/>
          <w:szCs w:val="24"/>
        </w:rPr>
        <w:t xml:space="preserve"> given after students selected their course </w:t>
      </w:r>
      <w:r w:rsidR="00F6571F" w:rsidRPr="00AD36D9">
        <w:rPr>
          <w:rFonts w:ascii="Times New Roman" w:hAnsi="Times New Roman" w:cs="Times New Roman"/>
          <w:sz w:val="24"/>
          <w:szCs w:val="24"/>
        </w:rPr>
        <w:t>for the following school year</w:t>
      </w:r>
      <w:r w:rsidR="00714645">
        <w:rPr>
          <w:rFonts w:ascii="Times New Roman" w:hAnsi="Times New Roman" w:cs="Times New Roman"/>
          <w:sz w:val="24"/>
          <w:szCs w:val="24"/>
        </w:rPr>
        <w:t xml:space="preserve">, usually </w:t>
      </w:r>
      <w:r w:rsidR="00797580" w:rsidRPr="00AD36D9">
        <w:rPr>
          <w:rFonts w:ascii="Times New Roman" w:hAnsi="Times New Roman" w:cs="Times New Roman"/>
          <w:sz w:val="24"/>
          <w:szCs w:val="24"/>
        </w:rPr>
        <w:t>by the third week in January</w:t>
      </w:r>
      <w:r w:rsidR="00492BA9">
        <w:rPr>
          <w:rFonts w:ascii="Times New Roman" w:hAnsi="Times New Roman" w:cs="Times New Roman"/>
          <w:sz w:val="24"/>
          <w:szCs w:val="24"/>
        </w:rPr>
        <w:t xml:space="preserve">, </w:t>
      </w:r>
      <w:r w:rsidR="007D4D2E">
        <w:rPr>
          <w:rFonts w:ascii="Times New Roman" w:hAnsi="Times New Roman" w:cs="Times New Roman"/>
          <w:sz w:val="24"/>
          <w:szCs w:val="24"/>
        </w:rPr>
        <w:t xml:space="preserve">after all approvals </w:t>
      </w:r>
      <w:r w:rsidR="008B0A52">
        <w:rPr>
          <w:rFonts w:ascii="Times New Roman" w:hAnsi="Times New Roman" w:cs="Times New Roman"/>
          <w:sz w:val="24"/>
          <w:szCs w:val="24"/>
        </w:rPr>
        <w:t>were</w:t>
      </w:r>
      <w:r w:rsidR="007D4D2E">
        <w:rPr>
          <w:rFonts w:ascii="Times New Roman" w:hAnsi="Times New Roman" w:cs="Times New Roman"/>
          <w:sz w:val="24"/>
          <w:szCs w:val="24"/>
        </w:rPr>
        <w:t xml:space="preserve"> obtained. </w:t>
      </w:r>
      <w:r w:rsidR="00797580" w:rsidRPr="00AD36D9">
        <w:rPr>
          <w:rFonts w:ascii="Times New Roman" w:hAnsi="Times New Roman" w:cs="Times New Roman"/>
          <w:sz w:val="24"/>
          <w:szCs w:val="24"/>
        </w:rPr>
        <w:t xml:space="preserve">The administration of the FCI and student enrollment dates </w:t>
      </w:r>
      <w:r w:rsidR="007C408C">
        <w:rPr>
          <w:rFonts w:ascii="Times New Roman" w:hAnsi="Times New Roman" w:cs="Times New Roman"/>
          <w:sz w:val="24"/>
          <w:szCs w:val="24"/>
        </w:rPr>
        <w:t>were</w:t>
      </w:r>
      <w:r w:rsidR="007C408C" w:rsidRPr="00AD36D9">
        <w:rPr>
          <w:rFonts w:ascii="Times New Roman" w:hAnsi="Times New Roman" w:cs="Times New Roman"/>
          <w:sz w:val="24"/>
          <w:szCs w:val="24"/>
        </w:rPr>
        <w:t xml:space="preserve"> </w:t>
      </w:r>
      <w:r w:rsidR="00797580" w:rsidRPr="00AD36D9">
        <w:rPr>
          <w:rFonts w:ascii="Times New Roman" w:hAnsi="Times New Roman" w:cs="Times New Roman"/>
          <w:sz w:val="24"/>
          <w:szCs w:val="24"/>
        </w:rPr>
        <w:t xml:space="preserve">determined by the high school research site. </w:t>
      </w:r>
    </w:p>
    <w:p w14:paraId="489B5E31" w14:textId="3B5962C0" w:rsidR="00FB41AA" w:rsidRPr="00AD36D9" w:rsidRDefault="00FB41AA" w:rsidP="00BA4A2D">
      <w:pPr>
        <w:widowControl w:val="0"/>
        <w:spacing w:after="0" w:line="480" w:lineRule="auto"/>
        <w:rPr>
          <w:rFonts w:ascii="Times New Roman" w:hAnsi="Times New Roman" w:cs="Times New Roman"/>
          <w:b/>
          <w:sz w:val="24"/>
          <w:szCs w:val="24"/>
        </w:rPr>
      </w:pPr>
      <w:r w:rsidRPr="00AD36D9">
        <w:rPr>
          <w:rFonts w:ascii="Times New Roman" w:hAnsi="Times New Roman" w:cs="Times New Roman"/>
          <w:b/>
          <w:sz w:val="24"/>
          <w:szCs w:val="24"/>
        </w:rPr>
        <w:t>Force Concepts Inventory</w:t>
      </w:r>
      <w:r w:rsidR="001B0845" w:rsidRPr="00AD36D9">
        <w:rPr>
          <w:rFonts w:ascii="Times New Roman" w:hAnsi="Times New Roman" w:cs="Times New Roman"/>
          <w:b/>
          <w:sz w:val="24"/>
          <w:szCs w:val="24"/>
        </w:rPr>
        <w:t xml:space="preserve"> and Semester One Physics Grades</w:t>
      </w:r>
    </w:p>
    <w:p w14:paraId="3DFAB12A" w14:textId="379C1DCB" w:rsidR="001B0845" w:rsidRPr="00AD36D9" w:rsidRDefault="00FB41AA" w:rsidP="00BA4A2D">
      <w:pPr>
        <w:widowControl w:val="0"/>
        <w:spacing w:after="0" w:line="480" w:lineRule="auto"/>
        <w:rPr>
          <w:rFonts w:ascii="Times New Roman" w:hAnsi="Times New Roman" w:cs="Times New Roman"/>
          <w:sz w:val="24"/>
          <w:szCs w:val="24"/>
        </w:rPr>
      </w:pPr>
      <w:r w:rsidRPr="00AD36D9">
        <w:rPr>
          <w:rFonts w:ascii="Times New Roman" w:hAnsi="Times New Roman" w:cs="Times New Roman"/>
          <w:b/>
          <w:sz w:val="24"/>
          <w:szCs w:val="24"/>
        </w:rPr>
        <w:tab/>
      </w:r>
      <w:r w:rsidRPr="00AD36D9">
        <w:rPr>
          <w:rFonts w:ascii="Times New Roman" w:hAnsi="Times New Roman" w:cs="Times New Roman"/>
          <w:sz w:val="24"/>
          <w:szCs w:val="24"/>
        </w:rPr>
        <w:t>To control for the level of physics knowledge</w:t>
      </w:r>
      <w:r w:rsidR="009227B8">
        <w:rPr>
          <w:rFonts w:ascii="Times New Roman" w:hAnsi="Times New Roman" w:cs="Times New Roman"/>
          <w:sz w:val="24"/>
          <w:szCs w:val="24"/>
        </w:rPr>
        <w:t xml:space="preserve"> growth</w:t>
      </w:r>
      <w:r w:rsidRPr="00AD36D9">
        <w:rPr>
          <w:rFonts w:ascii="Times New Roman" w:hAnsi="Times New Roman" w:cs="Times New Roman"/>
          <w:sz w:val="24"/>
          <w:szCs w:val="24"/>
        </w:rPr>
        <w:t>, the</w:t>
      </w:r>
      <w:r w:rsidR="008B0A52">
        <w:rPr>
          <w:rFonts w:ascii="Times New Roman" w:hAnsi="Times New Roman" w:cs="Times New Roman"/>
          <w:sz w:val="24"/>
          <w:szCs w:val="24"/>
        </w:rPr>
        <w:t xml:space="preserve"> </w:t>
      </w:r>
      <w:r w:rsidRPr="00AD36D9">
        <w:rPr>
          <w:rFonts w:ascii="Times New Roman" w:hAnsi="Times New Roman" w:cs="Times New Roman"/>
          <w:sz w:val="24"/>
          <w:szCs w:val="24"/>
        </w:rPr>
        <w:t>FC</w:t>
      </w:r>
      <w:r w:rsidR="008B0A52">
        <w:rPr>
          <w:rFonts w:ascii="Times New Roman" w:hAnsi="Times New Roman" w:cs="Times New Roman"/>
          <w:sz w:val="24"/>
          <w:szCs w:val="24"/>
        </w:rPr>
        <w:t>I</w:t>
      </w:r>
      <w:r w:rsidRPr="00AD36D9">
        <w:rPr>
          <w:rFonts w:ascii="Times New Roman" w:hAnsi="Times New Roman" w:cs="Times New Roman"/>
          <w:sz w:val="24"/>
          <w:szCs w:val="24"/>
        </w:rPr>
        <w:t xml:space="preserve"> </w:t>
      </w:r>
      <w:r w:rsidR="008238CC">
        <w:rPr>
          <w:rFonts w:ascii="Times New Roman" w:hAnsi="Times New Roman" w:cs="Times New Roman"/>
          <w:sz w:val="24"/>
          <w:szCs w:val="24"/>
        </w:rPr>
        <w:t xml:space="preserve">(Hestenes et al., 1992) </w:t>
      </w:r>
      <w:r w:rsidR="00C24A19">
        <w:rPr>
          <w:rFonts w:ascii="Times New Roman" w:hAnsi="Times New Roman" w:cs="Times New Roman"/>
          <w:sz w:val="24"/>
          <w:szCs w:val="24"/>
        </w:rPr>
        <w:t>was</w:t>
      </w:r>
      <w:r w:rsidRPr="00AD36D9">
        <w:rPr>
          <w:rFonts w:ascii="Times New Roman" w:hAnsi="Times New Roman" w:cs="Times New Roman"/>
          <w:sz w:val="24"/>
          <w:szCs w:val="24"/>
        </w:rPr>
        <w:t xml:space="preserve"> administered to all participants (Appendix B)</w:t>
      </w:r>
      <w:r w:rsidR="009227B8">
        <w:rPr>
          <w:rFonts w:ascii="Times New Roman" w:hAnsi="Times New Roman" w:cs="Times New Roman"/>
          <w:sz w:val="24"/>
          <w:szCs w:val="24"/>
        </w:rPr>
        <w:t xml:space="preserve"> at the beginning of the school year and after the concepts of force had been taught</w:t>
      </w:r>
      <w:r w:rsidR="004C1654" w:rsidRPr="00AD36D9">
        <w:rPr>
          <w:rFonts w:ascii="Times New Roman" w:hAnsi="Times New Roman" w:cs="Times New Roman"/>
          <w:sz w:val="24"/>
          <w:szCs w:val="24"/>
        </w:rPr>
        <w:t xml:space="preserve">. </w:t>
      </w:r>
      <w:r w:rsidR="00570055" w:rsidRPr="00AD36D9">
        <w:rPr>
          <w:rFonts w:ascii="Times New Roman" w:hAnsi="Times New Roman" w:cs="Times New Roman"/>
          <w:sz w:val="24"/>
          <w:szCs w:val="24"/>
        </w:rPr>
        <w:t xml:space="preserve">The FCI </w:t>
      </w:r>
      <w:r w:rsidRPr="00AD36D9">
        <w:rPr>
          <w:rFonts w:ascii="Times New Roman" w:hAnsi="Times New Roman" w:cs="Times New Roman"/>
          <w:sz w:val="24"/>
          <w:szCs w:val="24"/>
        </w:rPr>
        <w:t>is composed of 29 multiple choice questions designed to assess a student’s understanding of the nature of the force concept</w:t>
      </w:r>
      <w:r w:rsidR="00736F31" w:rsidRPr="00AD36D9">
        <w:rPr>
          <w:rFonts w:ascii="Times New Roman" w:hAnsi="Times New Roman" w:cs="Times New Roman"/>
          <w:sz w:val="24"/>
          <w:szCs w:val="24"/>
        </w:rPr>
        <w:t>.</w:t>
      </w:r>
      <w:r w:rsidR="001B0845" w:rsidRPr="00AD36D9">
        <w:rPr>
          <w:rFonts w:ascii="Times New Roman" w:hAnsi="Times New Roman" w:cs="Times New Roman"/>
          <w:sz w:val="24"/>
          <w:szCs w:val="24"/>
        </w:rPr>
        <w:t xml:space="preserve"> Each item is equally weighted yielding a r</w:t>
      </w:r>
      <w:r w:rsidR="00F6571F" w:rsidRPr="00AD36D9">
        <w:rPr>
          <w:rFonts w:ascii="Times New Roman" w:hAnsi="Times New Roman" w:cs="Times New Roman"/>
          <w:sz w:val="24"/>
          <w:szCs w:val="24"/>
        </w:rPr>
        <w:t>ange of scores from zero to 29.</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Hestenes et al. wrote the questions to address six dimensions of the force concept</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These dimensions </w:t>
      </w:r>
      <w:r w:rsidR="008B0A52" w:rsidRPr="00AD36D9">
        <w:rPr>
          <w:rFonts w:ascii="Times New Roman" w:hAnsi="Times New Roman" w:cs="Times New Roman"/>
          <w:sz w:val="24"/>
          <w:szCs w:val="24"/>
        </w:rPr>
        <w:t>include</w:t>
      </w:r>
      <w:r w:rsidRPr="00AD36D9">
        <w:rPr>
          <w:rFonts w:ascii="Times New Roman" w:hAnsi="Times New Roman" w:cs="Times New Roman"/>
          <w:sz w:val="24"/>
          <w:szCs w:val="24"/>
        </w:rPr>
        <w:t xml:space="preserve"> kinematics, Newton’s First Law, Newton’s Second Law, Newton’s Third Law, superposition principle, and kinds of force (Huffman &amp; Heller, 1995)</w:t>
      </w:r>
      <w:r w:rsidR="00736F31" w:rsidRPr="00AD36D9">
        <w:rPr>
          <w:rFonts w:ascii="Times New Roman" w:hAnsi="Times New Roman" w:cs="Times New Roman"/>
          <w:sz w:val="24"/>
          <w:szCs w:val="24"/>
        </w:rPr>
        <w:t>.</w:t>
      </w:r>
      <w:r w:rsidRPr="00AD36D9">
        <w:rPr>
          <w:rFonts w:ascii="Times New Roman" w:hAnsi="Times New Roman" w:cs="Times New Roman"/>
          <w:sz w:val="24"/>
          <w:szCs w:val="24"/>
        </w:rPr>
        <w:t xml:space="preserve"> Completing the exam requires no calculations, but rather addresses the concepts of what forces are and how the interactions of bodies govern our everyday experiences</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Physics specific vocabulary is not used, but rather common language to describe situations. The authors of the FCI confirmed the validity of the test responses through the conduction of follow-up interviews (Huffman &amp; Heller, 1995).</w:t>
      </w:r>
    </w:p>
    <w:p w14:paraId="32997C26" w14:textId="6234151A" w:rsidR="001E58AD" w:rsidRPr="00122462" w:rsidRDefault="001B0845" w:rsidP="001E58AD">
      <w:pPr>
        <w:widowControl w:val="0"/>
        <w:spacing w:after="0" w:line="480" w:lineRule="auto"/>
        <w:rPr>
          <w:rFonts w:ascii="Times New Roman" w:hAnsi="Times New Roman" w:cs="Times New Roman"/>
          <w:sz w:val="24"/>
          <w:szCs w:val="24"/>
        </w:rPr>
      </w:pPr>
      <w:r w:rsidRPr="00AD36D9">
        <w:rPr>
          <w:rFonts w:ascii="Times New Roman" w:hAnsi="Times New Roman" w:cs="Times New Roman"/>
          <w:sz w:val="24"/>
          <w:szCs w:val="24"/>
        </w:rPr>
        <w:tab/>
        <w:t>Additionally, student</w:t>
      </w:r>
      <w:r w:rsidR="008238CC">
        <w:rPr>
          <w:rFonts w:ascii="Times New Roman" w:hAnsi="Times New Roman" w:cs="Times New Roman"/>
          <w:sz w:val="24"/>
          <w:szCs w:val="24"/>
        </w:rPr>
        <w:t>s’</w:t>
      </w:r>
      <w:r w:rsidRPr="00AD36D9">
        <w:rPr>
          <w:rFonts w:ascii="Times New Roman" w:hAnsi="Times New Roman" w:cs="Times New Roman"/>
          <w:sz w:val="24"/>
          <w:szCs w:val="24"/>
        </w:rPr>
        <w:t xml:space="preserve"> semester one physics grades </w:t>
      </w:r>
      <w:r w:rsidR="008238CC">
        <w:rPr>
          <w:rFonts w:ascii="Times New Roman" w:hAnsi="Times New Roman" w:cs="Times New Roman"/>
          <w:sz w:val="24"/>
          <w:szCs w:val="24"/>
        </w:rPr>
        <w:t>were</w:t>
      </w:r>
      <w:r w:rsidR="008238CC" w:rsidRPr="00AD36D9">
        <w:rPr>
          <w:rFonts w:ascii="Times New Roman" w:hAnsi="Times New Roman" w:cs="Times New Roman"/>
          <w:sz w:val="24"/>
          <w:szCs w:val="24"/>
        </w:rPr>
        <w:t xml:space="preserve"> </w:t>
      </w:r>
      <w:r w:rsidRPr="00AD36D9">
        <w:rPr>
          <w:rFonts w:ascii="Times New Roman" w:hAnsi="Times New Roman" w:cs="Times New Roman"/>
          <w:sz w:val="24"/>
          <w:szCs w:val="24"/>
        </w:rPr>
        <w:t>used as a controlling variable. The scores on the FCI indicate</w:t>
      </w:r>
      <w:r w:rsidR="00C24A19">
        <w:rPr>
          <w:rFonts w:ascii="Times New Roman" w:hAnsi="Times New Roman" w:cs="Times New Roman"/>
          <w:sz w:val="24"/>
          <w:szCs w:val="24"/>
        </w:rPr>
        <w:t xml:space="preserve"> student</w:t>
      </w:r>
      <w:r w:rsidR="001E58AD">
        <w:rPr>
          <w:rFonts w:ascii="Times New Roman" w:hAnsi="Times New Roman" w:cs="Times New Roman"/>
          <w:sz w:val="24"/>
          <w:szCs w:val="24"/>
        </w:rPr>
        <w:t>s</w:t>
      </w:r>
      <w:r w:rsidR="00C24A19">
        <w:rPr>
          <w:rFonts w:ascii="Times New Roman" w:hAnsi="Times New Roman" w:cs="Times New Roman"/>
          <w:sz w:val="24"/>
          <w:szCs w:val="24"/>
        </w:rPr>
        <w:t>’</w:t>
      </w:r>
      <w:r w:rsidRPr="00AD36D9">
        <w:rPr>
          <w:rFonts w:ascii="Times New Roman" w:hAnsi="Times New Roman" w:cs="Times New Roman"/>
          <w:sz w:val="24"/>
          <w:szCs w:val="24"/>
        </w:rPr>
        <w:t xml:space="preserve"> level of knowledge about the concepts in introductory mechanics</w:t>
      </w:r>
      <w:r w:rsidR="00691EA1">
        <w:rPr>
          <w:rFonts w:ascii="Times New Roman" w:hAnsi="Times New Roman" w:cs="Times New Roman"/>
          <w:sz w:val="24"/>
          <w:szCs w:val="24"/>
        </w:rPr>
        <w:t>, which is taught in the first physics course students complete</w:t>
      </w:r>
      <w:r w:rsidRPr="00AD36D9">
        <w:rPr>
          <w:rFonts w:ascii="Times New Roman" w:hAnsi="Times New Roman" w:cs="Times New Roman"/>
          <w:sz w:val="24"/>
          <w:szCs w:val="24"/>
        </w:rPr>
        <w:t>. However, these scores do not factor into student</w:t>
      </w:r>
      <w:r w:rsidR="001E58AD">
        <w:rPr>
          <w:rFonts w:ascii="Times New Roman" w:hAnsi="Times New Roman" w:cs="Times New Roman"/>
          <w:sz w:val="24"/>
          <w:szCs w:val="24"/>
        </w:rPr>
        <w:t>s</w:t>
      </w:r>
      <w:r w:rsidRPr="00AD36D9">
        <w:rPr>
          <w:rFonts w:ascii="Times New Roman" w:hAnsi="Times New Roman" w:cs="Times New Roman"/>
          <w:sz w:val="24"/>
          <w:szCs w:val="24"/>
        </w:rPr>
        <w:t>’ semester grade</w:t>
      </w:r>
      <w:r w:rsidR="001E58AD">
        <w:rPr>
          <w:rFonts w:ascii="Times New Roman" w:hAnsi="Times New Roman" w:cs="Times New Roman"/>
          <w:sz w:val="24"/>
          <w:szCs w:val="24"/>
        </w:rPr>
        <w:t>s</w:t>
      </w:r>
      <w:r w:rsidRPr="00AD36D9">
        <w:rPr>
          <w:rFonts w:ascii="Times New Roman" w:hAnsi="Times New Roman" w:cs="Times New Roman"/>
          <w:sz w:val="24"/>
          <w:szCs w:val="24"/>
        </w:rPr>
        <w:t xml:space="preserve"> or</w:t>
      </w:r>
      <w:r w:rsidR="001E58AD">
        <w:rPr>
          <w:rFonts w:ascii="Times New Roman" w:hAnsi="Times New Roman" w:cs="Times New Roman"/>
          <w:sz w:val="24"/>
          <w:szCs w:val="24"/>
        </w:rPr>
        <w:t xml:space="preserve"> </w:t>
      </w:r>
      <w:r w:rsidRPr="00AD36D9">
        <w:rPr>
          <w:rFonts w:ascii="Times New Roman" w:hAnsi="Times New Roman" w:cs="Times New Roman"/>
          <w:sz w:val="24"/>
          <w:szCs w:val="24"/>
        </w:rPr>
        <w:t>indicated on high school transcript</w:t>
      </w:r>
      <w:r w:rsidR="001E58AD">
        <w:rPr>
          <w:rFonts w:ascii="Times New Roman" w:hAnsi="Times New Roman" w:cs="Times New Roman"/>
          <w:sz w:val="24"/>
          <w:szCs w:val="24"/>
        </w:rPr>
        <w:t>s</w:t>
      </w:r>
      <w:r w:rsidRPr="00AD36D9">
        <w:rPr>
          <w:rFonts w:ascii="Times New Roman" w:hAnsi="Times New Roman" w:cs="Times New Roman"/>
          <w:sz w:val="24"/>
          <w:szCs w:val="24"/>
        </w:rPr>
        <w:t xml:space="preserve">. </w:t>
      </w:r>
      <w:r w:rsidR="001E58AD">
        <w:rPr>
          <w:rFonts w:ascii="Times New Roman" w:hAnsi="Times New Roman" w:cs="Times New Roman"/>
          <w:sz w:val="24"/>
          <w:szCs w:val="24"/>
        </w:rPr>
        <w:t>The a</w:t>
      </w:r>
      <w:r w:rsidRPr="00AD36D9">
        <w:rPr>
          <w:rFonts w:ascii="Times New Roman" w:hAnsi="Times New Roman" w:cs="Times New Roman"/>
          <w:sz w:val="24"/>
          <w:szCs w:val="24"/>
        </w:rPr>
        <w:t xml:space="preserve">ccountability for achievement on the FCI </w:t>
      </w:r>
      <w:r w:rsidR="007C408C">
        <w:rPr>
          <w:rFonts w:ascii="Times New Roman" w:hAnsi="Times New Roman" w:cs="Times New Roman"/>
          <w:sz w:val="24"/>
          <w:szCs w:val="24"/>
        </w:rPr>
        <w:t>was</w:t>
      </w:r>
      <w:r w:rsidR="007C408C" w:rsidRPr="00AD36D9">
        <w:rPr>
          <w:rFonts w:ascii="Times New Roman" w:hAnsi="Times New Roman" w:cs="Times New Roman"/>
          <w:sz w:val="24"/>
          <w:szCs w:val="24"/>
        </w:rPr>
        <w:t xml:space="preserve"> </w:t>
      </w:r>
      <w:r w:rsidR="00F6571F" w:rsidRPr="00AD36D9">
        <w:rPr>
          <w:rFonts w:ascii="Times New Roman" w:hAnsi="Times New Roman" w:cs="Times New Roman"/>
          <w:sz w:val="24"/>
          <w:szCs w:val="24"/>
        </w:rPr>
        <w:t xml:space="preserve">entirely intrinsic. </w:t>
      </w:r>
      <w:r w:rsidRPr="00AD36D9">
        <w:rPr>
          <w:rFonts w:ascii="Times New Roman" w:hAnsi="Times New Roman" w:cs="Times New Roman"/>
          <w:sz w:val="24"/>
          <w:szCs w:val="24"/>
        </w:rPr>
        <w:t xml:space="preserve">Alternatively, semester one physics grades are a permanent score reflecting physics achievement. </w:t>
      </w:r>
      <w:r w:rsidR="00EE7237" w:rsidRPr="00AD36D9">
        <w:rPr>
          <w:rFonts w:ascii="Times New Roman" w:hAnsi="Times New Roman" w:cs="Times New Roman"/>
          <w:sz w:val="24"/>
          <w:szCs w:val="24"/>
        </w:rPr>
        <w:t xml:space="preserve">The research site </w:t>
      </w:r>
      <w:r w:rsidR="007C408C" w:rsidRPr="00AD36D9">
        <w:rPr>
          <w:rFonts w:ascii="Times New Roman" w:hAnsi="Times New Roman" w:cs="Times New Roman"/>
          <w:sz w:val="24"/>
          <w:szCs w:val="24"/>
        </w:rPr>
        <w:t>include</w:t>
      </w:r>
      <w:r w:rsidR="007C408C">
        <w:rPr>
          <w:rFonts w:ascii="Times New Roman" w:hAnsi="Times New Roman" w:cs="Times New Roman"/>
          <w:sz w:val="24"/>
          <w:szCs w:val="24"/>
        </w:rPr>
        <w:t>d</w:t>
      </w:r>
      <w:r w:rsidR="007C408C" w:rsidRPr="00AD36D9">
        <w:rPr>
          <w:rFonts w:ascii="Times New Roman" w:hAnsi="Times New Roman" w:cs="Times New Roman"/>
          <w:sz w:val="24"/>
          <w:szCs w:val="24"/>
        </w:rPr>
        <w:t xml:space="preserve"> </w:t>
      </w:r>
      <w:r w:rsidR="00EE7237" w:rsidRPr="00AD36D9">
        <w:rPr>
          <w:rFonts w:ascii="Times New Roman" w:hAnsi="Times New Roman" w:cs="Times New Roman"/>
          <w:sz w:val="24"/>
          <w:szCs w:val="24"/>
        </w:rPr>
        <w:t xml:space="preserve">plusses </w:t>
      </w:r>
      <w:r w:rsidR="00F6571F" w:rsidRPr="00AD36D9">
        <w:rPr>
          <w:rFonts w:ascii="Times New Roman" w:hAnsi="Times New Roman" w:cs="Times New Roman"/>
          <w:sz w:val="24"/>
          <w:szCs w:val="24"/>
        </w:rPr>
        <w:t>and minuses in academic grades.</w:t>
      </w:r>
      <w:r w:rsidR="00EE7237" w:rsidRPr="00AD36D9">
        <w:rPr>
          <w:rFonts w:ascii="Times New Roman" w:hAnsi="Times New Roman" w:cs="Times New Roman"/>
          <w:sz w:val="24"/>
          <w:szCs w:val="24"/>
        </w:rPr>
        <w:t xml:space="preserve"> Student letter grades </w:t>
      </w:r>
      <w:r w:rsidR="00C24A19">
        <w:rPr>
          <w:rFonts w:ascii="Times New Roman" w:hAnsi="Times New Roman" w:cs="Times New Roman"/>
          <w:sz w:val="24"/>
          <w:szCs w:val="24"/>
        </w:rPr>
        <w:t>were</w:t>
      </w:r>
      <w:r w:rsidR="00EE7237" w:rsidRPr="00AD36D9">
        <w:rPr>
          <w:rFonts w:ascii="Times New Roman" w:hAnsi="Times New Roman" w:cs="Times New Roman"/>
          <w:sz w:val="24"/>
          <w:szCs w:val="24"/>
        </w:rPr>
        <w:t xml:space="preserve"> converted to a numeric score</w:t>
      </w:r>
      <w:r w:rsidR="001E58AD">
        <w:rPr>
          <w:rFonts w:ascii="Times New Roman" w:hAnsi="Times New Roman" w:cs="Times New Roman"/>
          <w:sz w:val="24"/>
          <w:szCs w:val="24"/>
        </w:rPr>
        <w:t xml:space="preserve"> </w:t>
      </w:r>
      <w:r w:rsidR="001E58AD">
        <w:rPr>
          <w:rFonts w:ascii="Times New Roman" w:hAnsi="Times New Roman" w:cs="Times New Roman"/>
          <w:sz w:val="24"/>
          <w:szCs w:val="24"/>
        </w:rPr>
        <w:lastRenderedPageBreak/>
        <w:t xml:space="preserve">(Table 2). </w:t>
      </w:r>
      <w:r w:rsidR="00E74E66">
        <w:rPr>
          <w:rFonts w:ascii="Times New Roman" w:hAnsi="Times New Roman" w:cs="Times New Roman"/>
          <w:sz w:val="24"/>
          <w:szCs w:val="24"/>
        </w:rPr>
        <w:t>The g</w:t>
      </w:r>
      <w:r w:rsidR="001E58AD" w:rsidRPr="00122462">
        <w:rPr>
          <w:rFonts w:ascii="Times New Roman" w:hAnsi="Times New Roman" w:cs="Times New Roman"/>
          <w:sz w:val="24"/>
          <w:szCs w:val="24"/>
        </w:rPr>
        <w:t xml:space="preserve">rades at the </w:t>
      </w:r>
      <w:r w:rsidR="001E58AD">
        <w:rPr>
          <w:rFonts w:ascii="Times New Roman" w:hAnsi="Times New Roman" w:cs="Times New Roman"/>
          <w:sz w:val="24"/>
          <w:szCs w:val="24"/>
        </w:rPr>
        <w:t>research site are scored on a 4-point scale with an A equal to 4 points and a B equal to 3 points. Pluses and minuses do not count into a student’s grade point average but are reported on a transcript. The conversions indicated in Table 2 allowed for differentiated numerical scoring of plus and minus grades in this research study.</w:t>
      </w:r>
    </w:p>
    <w:p w14:paraId="7D6DCF8E" w14:textId="77777777" w:rsidR="00777D98" w:rsidRPr="00736778" w:rsidRDefault="00777D98" w:rsidP="00BA4A2D">
      <w:pPr>
        <w:widowControl w:val="0"/>
        <w:spacing w:after="0" w:line="480" w:lineRule="auto"/>
        <w:rPr>
          <w:rFonts w:ascii="Times New Roman" w:hAnsi="Times New Roman" w:cs="Times New Roman"/>
          <w:b/>
          <w:sz w:val="24"/>
          <w:szCs w:val="24"/>
        </w:rPr>
      </w:pPr>
      <w:r w:rsidRPr="00AD36D9">
        <w:rPr>
          <w:rFonts w:ascii="Times New Roman" w:hAnsi="Times New Roman" w:cs="Times New Roman"/>
          <w:b/>
          <w:sz w:val="24"/>
          <w:szCs w:val="24"/>
        </w:rPr>
        <w:t>Table 2</w:t>
      </w:r>
      <w:r w:rsidRPr="00736778">
        <w:rPr>
          <w:rFonts w:ascii="Times New Roman" w:hAnsi="Times New Roman" w:cs="Times New Roman"/>
          <w:b/>
          <w:sz w:val="24"/>
          <w:szCs w:val="24"/>
        </w:rPr>
        <w:t xml:space="preserve"> </w:t>
      </w:r>
    </w:p>
    <w:p w14:paraId="36AE1BFD" w14:textId="4FFD625A" w:rsidR="00EE7237" w:rsidRPr="00A20936" w:rsidRDefault="00906E9B" w:rsidP="00BA4A2D">
      <w:pPr>
        <w:widowControl w:val="0"/>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Conversion </w:t>
      </w:r>
      <w:r w:rsidR="00CC33A6">
        <w:rPr>
          <w:rFonts w:ascii="Times New Roman" w:hAnsi="Times New Roman" w:cs="Times New Roman"/>
          <w:i/>
          <w:sz w:val="24"/>
          <w:szCs w:val="24"/>
        </w:rPr>
        <w:t xml:space="preserve">of </w:t>
      </w:r>
      <w:r>
        <w:rPr>
          <w:rFonts w:ascii="Times New Roman" w:hAnsi="Times New Roman" w:cs="Times New Roman"/>
          <w:i/>
          <w:sz w:val="24"/>
          <w:szCs w:val="24"/>
        </w:rPr>
        <w:t xml:space="preserve">Letter </w:t>
      </w:r>
      <w:r w:rsidR="00EE7237" w:rsidRPr="00A20936">
        <w:rPr>
          <w:rFonts w:ascii="Times New Roman" w:hAnsi="Times New Roman" w:cs="Times New Roman"/>
          <w:i/>
          <w:sz w:val="24"/>
          <w:szCs w:val="24"/>
        </w:rPr>
        <w:t>Grading Scale</w:t>
      </w:r>
      <w:r w:rsidR="00CC33A6">
        <w:rPr>
          <w:rFonts w:ascii="Times New Roman" w:hAnsi="Times New Roman" w:cs="Times New Roman"/>
          <w:i/>
          <w:sz w:val="24"/>
          <w:szCs w:val="24"/>
        </w:rPr>
        <w:t xml:space="preserve"> for Differentiated Numeric Values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890"/>
      </w:tblGrid>
      <w:tr w:rsidR="00EE7237" w:rsidRPr="00AD36D9" w14:paraId="2A63B262" w14:textId="77777777" w:rsidTr="00BA4A2D">
        <w:trPr>
          <w:trHeight w:hRule="exact" w:val="307"/>
        </w:trPr>
        <w:tc>
          <w:tcPr>
            <w:tcW w:w="1350" w:type="dxa"/>
            <w:tcBorders>
              <w:top w:val="single" w:sz="4" w:space="0" w:color="auto"/>
              <w:bottom w:val="single" w:sz="4" w:space="0" w:color="auto"/>
            </w:tcBorders>
            <w:tcMar>
              <w:left w:w="0" w:type="dxa"/>
              <w:right w:w="0" w:type="dxa"/>
            </w:tcMar>
          </w:tcPr>
          <w:p w14:paraId="5B46D2BA" w14:textId="57476A30" w:rsidR="00EE7237" w:rsidRPr="00AD36D9" w:rsidRDefault="00EE7237" w:rsidP="00BA4A2D">
            <w:pPr>
              <w:widowControl w:val="0"/>
              <w:spacing w:after="0" w:line="240" w:lineRule="auto"/>
            </w:pPr>
            <w:r w:rsidRPr="00AD36D9">
              <w:t>Letter Grade</w:t>
            </w:r>
          </w:p>
        </w:tc>
        <w:tc>
          <w:tcPr>
            <w:tcW w:w="1890" w:type="dxa"/>
            <w:tcBorders>
              <w:top w:val="single" w:sz="4" w:space="0" w:color="auto"/>
              <w:bottom w:val="single" w:sz="4" w:space="0" w:color="auto"/>
            </w:tcBorders>
            <w:tcMar>
              <w:left w:w="0" w:type="dxa"/>
              <w:right w:w="0" w:type="dxa"/>
            </w:tcMar>
          </w:tcPr>
          <w:p w14:paraId="470F20A2" w14:textId="125F75B0" w:rsidR="00EE7237" w:rsidRPr="00AD36D9" w:rsidRDefault="00EE7237" w:rsidP="00BA4A2D">
            <w:pPr>
              <w:widowControl w:val="0"/>
              <w:spacing w:after="0" w:line="240" w:lineRule="auto"/>
            </w:pPr>
            <w:r w:rsidRPr="00AD36D9">
              <w:t>Numeric Score</w:t>
            </w:r>
          </w:p>
        </w:tc>
      </w:tr>
      <w:tr w:rsidR="00EE7237" w:rsidRPr="00DD647F" w14:paraId="409D7054" w14:textId="77777777" w:rsidTr="00BA4A2D">
        <w:trPr>
          <w:trHeight w:hRule="exact" w:val="262"/>
        </w:trPr>
        <w:tc>
          <w:tcPr>
            <w:tcW w:w="1350" w:type="dxa"/>
            <w:tcBorders>
              <w:top w:val="single" w:sz="4" w:space="0" w:color="auto"/>
            </w:tcBorders>
            <w:tcMar>
              <w:left w:w="0" w:type="dxa"/>
              <w:right w:w="0" w:type="dxa"/>
            </w:tcMar>
          </w:tcPr>
          <w:p w14:paraId="4DBF10AC" w14:textId="489AEF8F" w:rsidR="00EE7237" w:rsidRPr="00DD647F" w:rsidRDefault="00EE7237" w:rsidP="00BA4A2D">
            <w:pPr>
              <w:widowControl w:val="0"/>
              <w:spacing w:after="0" w:line="240" w:lineRule="auto"/>
            </w:pPr>
            <w:r w:rsidRPr="00DD647F">
              <w:t>A+</w:t>
            </w:r>
          </w:p>
        </w:tc>
        <w:tc>
          <w:tcPr>
            <w:tcW w:w="1890" w:type="dxa"/>
            <w:tcBorders>
              <w:top w:val="single" w:sz="4" w:space="0" w:color="auto"/>
            </w:tcBorders>
            <w:tcMar>
              <w:left w:w="0" w:type="dxa"/>
              <w:right w:w="0" w:type="dxa"/>
            </w:tcMar>
          </w:tcPr>
          <w:p w14:paraId="35EF83BB" w14:textId="5BDAB49F" w:rsidR="00EE7237" w:rsidRPr="00DD647F" w:rsidRDefault="00AD36D9" w:rsidP="00BA4A2D">
            <w:pPr>
              <w:widowControl w:val="0"/>
              <w:spacing w:after="0" w:line="240" w:lineRule="auto"/>
            </w:pPr>
            <w:r w:rsidRPr="00DD647F">
              <w:t>12</w:t>
            </w:r>
          </w:p>
        </w:tc>
      </w:tr>
      <w:tr w:rsidR="00EE7237" w:rsidRPr="00DD647F" w14:paraId="2F9A4C1B" w14:textId="77777777" w:rsidTr="00BA4A2D">
        <w:trPr>
          <w:trHeight w:hRule="exact" w:val="270"/>
        </w:trPr>
        <w:tc>
          <w:tcPr>
            <w:tcW w:w="1350" w:type="dxa"/>
            <w:tcMar>
              <w:left w:w="0" w:type="dxa"/>
              <w:right w:w="0" w:type="dxa"/>
            </w:tcMar>
          </w:tcPr>
          <w:p w14:paraId="72EB26B9" w14:textId="2B7AE847" w:rsidR="00EE7237" w:rsidRPr="00DD647F" w:rsidRDefault="00EE7237" w:rsidP="00BA4A2D">
            <w:pPr>
              <w:widowControl w:val="0"/>
              <w:spacing w:after="0" w:line="240" w:lineRule="auto"/>
            </w:pPr>
            <w:r w:rsidRPr="00DD647F">
              <w:t>A</w:t>
            </w:r>
          </w:p>
        </w:tc>
        <w:tc>
          <w:tcPr>
            <w:tcW w:w="1890" w:type="dxa"/>
            <w:tcMar>
              <w:left w:w="0" w:type="dxa"/>
              <w:right w:w="0" w:type="dxa"/>
            </w:tcMar>
          </w:tcPr>
          <w:p w14:paraId="423969BD" w14:textId="320EC7AC" w:rsidR="00EE7237" w:rsidRPr="00DD647F" w:rsidRDefault="00AD36D9" w:rsidP="00BA4A2D">
            <w:pPr>
              <w:widowControl w:val="0"/>
              <w:spacing w:after="0" w:line="240" w:lineRule="auto"/>
            </w:pPr>
            <w:r w:rsidRPr="00DD647F">
              <w:t>11</w:t>
            </w:r>
          </w:p>
        </w:tc>
      </w:tr>
      <w:tr w:rsidR="00EE7237" w:rsidRPr="00DD647F" w14:paraId="12E64481" w14:textId="77777777" w:rsidTr="00BA4A2D">
        <w:trPr>
          <w:trHeight w:hRule="exact" w:val="261"/>
        </w:trPr>
        <w:tc>
          <w:tcPr>
            <w:tcW w:w="1350" w:type="dxa"/>
            <w:tcMar>
              <w:left w:w="0" w:type="dxa"/>
              <w:right w:w="0" w:type="dxa"/>
            </w:tcMar>
          </w:tcPr>
          <w:p w14:paraId="4D66767C" w14:textId="055DD5C6" w:rsidR="00EE7237" w:rsidRPr="00DD647F" w:rsidRDefault="00EE7237" w:rsidP="00BA4A2D">
            <w:pPr>
              <w:widowControl w:val="0"/>
              <w:spacing w:after="0" w:line="240" w:lineRule="auto"/>
            </w:pPr>
            <w:r w:rsidRPr="00DD647F">
              <w:t>A-</w:t>
            </w:r>
          </w:p>
        </w:tc>
        <w:tc>
          <w:tcPr>
            <w:tcW w:w="1890" w:type="dxa"/>
            <w:tcMar>
              <w:left w:w="0" w:type="dxa"/>
              <w:right w:w="0" w:type="dxa"/>
            </w:tcMar>
          </w:tcPr>
          <w:p w14:paraId="6EDC423E" w14:textId="372A4648" w:rsidR="00EE7237" w:rsidRPr="00DD647F" w:rsidRDefault="00AD36D9" w:rsidP="00BA4A2D">
            <w:pPr>
              <w:widowControl w:val="0"/>
              <w:spacing w:after="0" w:line="240" w:lineRule="auto"/>
            </w:pPr>
            <w:r w:rsidRPr="00DD647F">
              <w:t>10</w:t>
            </w:r>
          </w:p>
        </w:tc>
      </w:tr>
      <w:tr w:rsidR="00EE7237" w:rsidRPr="00DD647F" w14:paraId="6DC6F29F" w14:textId="77777777" w:rsidTr="00BA4A2D">
        <w:trPr>
          <w:trHeight w:hRule="exact" w:val="279"/>
        </w:trPr>
        <w:tc>
          <w:tcPr>
            <w:tcW w:w="1350" w:type="dxa"/>
            <w:tcMar>
              <w:left w:w="0" w:type="dxa"/>
              <w:right w:w="0" w:type="dxa"/>
            </w:tcMar>
          </w:tcPr>
          <w:p w14:paraId="26DEC5A2" w14:textId="44E13BE8" w:rsidR="00EE7237" w:rsidRPr="00DD647F" w:rsidRDefault="00EE7237" w:rsidP="00BA4A2D">
            <w:pPr>
              <w:widowControl w:val="0"/>
              <w:spacing w:after="0" w:line="240" w:lineRule="auto"/>
            </w:pPr>
            <w:r w:rsidRPr="00DD647F">
              <w:t>B+</w:t>
            </w:r>
          </w:p>
        </w:tc>
        <w:tc>
          <w:tcPr>
            <w:tcW w:w="1890" w:type="dxa"/>
            <w:tcMar>
              <w:left w:w="0" w:type="dxa"/>
              <w:right w:w="0" w:type="dxa"/>
            </w:tcMar>
          </w:tcPr>
          <w:p w14:paraId="4B50973E" w14:textId="16093963" w:rsidR="00EE7237" w:rsidRPr="00DD647F" w:rsidRDefault="00AD36D9" w:rsidP="00BA4A2D">
            <w:pPr>
              <w:widowControl w:val="0"/>
              <w:spacing w:after="0" w:line="240" w:lineRule="auto"/>
            </w:pPr>
            <w:r w:rsidRPr="00DD647F">
              <w:t>9</w:t>
            </w:r>
          </w:p>
        </w:tc>
      </w:tr>
      <w:tr w:rsidR="00EE7237" w:rsidRPr="00DD647F" w14:paraId="178A9DF3" w14:textId="77777777" w:rsidTr="00BA4A2D">
        <w:trPr>
          <w:trHeight w:hRule="exact" w:val="261"/>
        </w:trPr>
        <w:tc>
          <w:tcPr>
            <w:tcW w:w="1350" w:type="dxa"/>
            <w:tcMar>
              <w:left w:w="0" w:type="dxa"/>
              <w:right w:w="0" w:type="dxa"/>
            </w:tcMar>
          </w:tcPr>
          <w:p w14:paraId="0456BA72" w14:textId="166813EB" w:rsidR="00EE7237" w:rsidRPr="00DD647F" w:rsidRDefault="00EE7237" w:rsidP="00BA4A2D">
            <w:pPr>
              <w:widowControl w:val="0"/>
              <w:spacing w:after="0" w:line="240" w:lineRule="auto"/>
            </w:pPr>
            <w:r w:rsidRPr="00DD647F">
              <w:t>B</w:t>
            </w:r>
          </w:p>
        </w:tc>
        <w:tc>
          <w:tcPr>
            <w:tcW w:w="1890" w:type="dxa"/>
            <w:tcMar>
              <w:left w:w="0" w:type="dxa"/>
              <w:right w:w="0" w:type="dxa"/>
            </w:tcMar>
          </w:tcPr>
          <w:p w14:paraId="0E3B647C" w14:textId="3393F53D" w:rsidR="00EE7237" w:rsidRPr="00DD647F" w:rsidRDefault="00AD36D9" w:rsidP="00BA4A2D">
            <w:pPr>
              <w:widowControl w:val="0"/>
              <w:spacing w:after="0" w:line="240" w:lineRule="auto"/>
            </w:pPr>
            <w:r w:rsidRPr="00DD647F">
              <w:t>8</w:t>
            </w:r>
          </w:p>
        </w:tc>
      </w:tr>
      <w:tr w:rsidR="00EE7237" w:rsidRPr="00DD647F" w14:paraId="1F46EE12" w14:textId="77777777" w:rsidTr="00BA4A2D">
        <w:trPr>
          <w:trHeight w:hRule="exact" w:val="279"/>
        </w:trPr>
        <w:tc>
          <w:tcPr>
            <w:tcW w:w="1350" w:type="dxa"/>
            <w:tcMar>
              <w:left w:w="0" w:type="dxa"/>
              <w:right w:w="0" w:type="dxa"/>
            </w:tcMar>
          </w:tcPr>
          <w:p w14:paraId="3BDA2FE5" w14:textId="06B64FDB" w:rsidR="00EE7237" w:rsidRPr="00DD647F" w:rsidRDefault="00EE7237" w:rsidP="00BA4A2D">
            <w:pPr>
              <w:widowControl w:val="0"/>
              <w:spacing w:after="0" w:line="240" w:lineRule="auto"/>
            </w:pPr>
            <w:r w:rsidRPr="00DD647F">
              <w:t>B-</w:t>
            </w:r>
          </w:p>
        </w:tc>
        <w:tc>
          <w:tcPr>
            <w:tcW w:w="1890" w:type="dxa"/>
            <w:tcMar>
              <w:left w:w="0" w:type="dxa"/>
              <w:right w:w="0" w:type="dxa"/>
            </w:tcMar>
          </w:tcPr>
          <w:p w14:paraId="3C6C3C02" w14:textId="27462438" w:rsidR="00EE7237" w:rsidRPr="00DD647F" w:rsidRDefault="00AD36D9" w:rsidP="00BA4A2D">
            <w:pPr>
              <w:widowControl w:val="0"/>
              <w:spacing w:after="0" w:line="240" w:lineRule="auto"/>
            </w:pPr>
            <w:r w:rsidRPr="00DD647F">
              <w:t>7</w:t>
            </w:r>
          </w:p>
        </w:tc>
      </w:tr>
      <w:tr w:rsidR="00EE7237" w:rsidRPr="00CC66DB" w14:paraId="53B17457" w14:textId="77777777" w:rsidTr="00BA4A2D">
        <w:trPr>
          <w:trHeight w:hRule="exact" w:val="261"/>
        </w:trPr>
        <w:tc>
          <w:tcPr>
            <w:tcW w:w="1350" w:type="dxa"/>
            <w:tcMar>
              <w:left w:w="0" w:type="dxa"/>
              <w:right w:w="0" w:type="dxa"/>
            </w:tcMar>
          </w:tcPr>
          <w:p w14:paraId="7F27FE1B" w14:textId="1361CDAB" w:rsidR="00EE7237" w:rsidRPr="00DD647F" w:rsidRDefault="00EE7237" w:rsidP="00BA4A2D">
            <w:pPr>
              <w:widowControl w:val="0"/>
              <w:spacing w:after="0" w:line="240" w:lineRule="auto"/>
            </w:pPr>
            <w:r w:rsidRPr="00DD647F">
              <w:t>C+</w:t>
            </w:r>
          </w:p>
        </w:tc>
        <w:tc>
          <w:tcPr>
            <w:tcW w:w="1890" w:type="dxa"/>
            <w:tcMar>
              <w:left w:w="0" w:type="dxa"/>
              <w:right w:w="0" w:type="dxa"/>
            </w:tcMar>
          </w:tcPr>
          <w:p w14:paraId="3C4C3C48" w14:textId="45E8FCEE" w:rsidR="00EE7237" w:rsidRPr="00DD647F" w:rsidRDefault="00AD36D9" w:rsidP="00BA4A2D">
            <w:pPr>
              <w:widowControl w:val="0"/>
              <w:spacing w:after="0" w:line="240" w:lineRule="auto"/>
            </w:pPr>
            <w:r w:rsidRPr="00DD647F">
              <w:t>6</w:t>
            </w:r>
          </w:p>
        </w:tc>
      </w:tr>
      <w:tr w:rsidR="00EE7237" w:rsidRPr="00DD647F" w14:paraId="71C605FF" w14:textId="77777777" w:rsidTr="00BA4A2D">
        <w:trPr>
          <w:trHeight w:hRule="exact" w:val="279"/>
        </w:trPr>
        <w:tc>
          <w:tcPr>
            <w:tcW w:w="1350" w:type="dxa"/>
            <w:tcMar>
              <w:left w:w="0" w:type="dxa"/>
              <w:right w:w="0" w:type="dxa"/>
            </w:tcMar>
          </w:tcPr>
          <w:p w14:paraId="51FE0C4C" w14:textId="46AD9EE9" w:rsidR="00EE7237" w:rsidRPr="00DD647F" w:rsidRDefault="00EE7237" w:rsidP="00BA4A2D">
            <w:pPr>
              <w:widowControl w:val="0"/>
              <w:spacing w:after="0" w:line="240" w:lineRule="auto"/>
            </w:pPr>
            <w:r w:rsidRPr="00DD647F">
              <w:t>C</w:t>
            </w:r>
          </w:p>
        </w:tc>
        <w:tc>
          <w:tcPr>
            <w:tcW w:w="1890" w:type="dxa"/>
            <w:tcMar>
              <w:left w:w="0" w:type="dxa"/>
              <w:right w:w="0" w:type="dxa"/>
            </w:tcMar>
          </w:tcPr>
          <w:p w14:paraId="1A2AA9EF" w14:textId="03D93042" w:rsidR="00EE7237" w:rsidRPr="00DD647F" w:rsidRDefault="00AD36D9" w:rsidP="00BA4A2D">
            <w:pPr>
              <w:widowControl w:val="0"/>
              <w:spacing w:after="0" w:line="240" w:lineRule="auto"/>
            </w:pPr>
            <w:r w:rsidRPr="00DD647F">
              <w:t>5</w:t>
            </w:r>
          </w:p>
        </w:tc>
      </w:tr>
      <w:tr w:rsidR="00EE7237" w:rsidRPr="00DD647F" w14:paraId="4078AF0B" w14:textId="77777777" w:rsidTr="00BA4A2D">
        <w:trPr>
          <w:trHeight w:hRule="exact" w:val="270"/>
        </w:trPr>
        <w:tc>
          <w:tcPr>
            <w:tcW w:w="1350" w:type="dxa"/>
            <w:tcMar>
              <w:left w:w="0" w:type="dxa"/>
              <w:right w:w="0" w:type="dxa"/>
            </w:tcMar>
          </w:tcPr>
          <w:p w14:paraId="35FF92AE" w14:textId="1D35B9E0" w:rsidR="00EE7237" w:rsidRPr="00DD647F" w:rsidRDefault="00EE7237" w:rsidP="00BA4A2D">
            <w:pPr>
              <w:widowControl w:val="0"/>
              <w:spacing w:after="0" w:line="240" w:lineRule="auto"/>
            </w:pPr>
            <w:r w:rsidRPr="00DD647F">
              <w:t>C-</w:t>
            </w:r>
          </w:p>
        </w:tc>
        <w:tc>
          <w:tcPr>
            <w:tcW w:w="1890" w:type="dxa"/>
            <w:tcMar>
              <w:left w:w="0" w:type="dxa"/>
              <w:right w:w="0" w:type="dxa"/>
            </w:tcMar>
          </w:tcPr>
          <w:p w14:paraId="28AAEDFC" w14:textId="06C7AF0C" w:rsidR="00EE7237" w:rsidRPr="00DD647F" w:rsidRDefault="00AD36D9" w:rsidP="00BA4A2D">
            <w:pPr>
              <w:widowControl w:val="0"/>
              <w:spacing w:after="0" w:line="240" w:lineRule="auto"/>
            </w:pPr>
            <w:r w:rsidRPr="00DD647F">
              <w:t>4</w:t>
            </w:r>
          </w:p>
        </w:tc>
      </w:tr>
      <w:tr w:rsidR="00EE7237" w:rsidRPr="00DD647F" w14:paraId="73378F99" w14:textId="77777777" w:rsidTr="00BA4A2D">
        <w:trPr>
          <w:trHeight w:hRule="exact" w:val="261"/>
        </w:trPr>
        <w:tc>
          <w:tcPr>
            <w:tcW w:w="1350" w:type="dxa"/>
            <w:tcMar>
              <w:left w:w="0" w:type="dxa"/>
              <w:right w:w="0" w:type="dxa"/>
            </w:tcMar>
          </w:tcPr>
          <w:p w14:paraId="4A2592E9" w14:textId="5276BAD7" w:rsidR="00EE7237" w:rsidRPr="00DD647F" w:rsidRDefault="00EE7237" w:rsidP="00BA4A2D">
            <w:pPr>
              <w:widowControl w:val="0"/>
              <w:spacing w:after="0" w:line="240" w:lineRule="auto"/>
            </w:pPr>
            <w:r w:rsidRPr="00DD647F">
              <w:t>D+</w:t>
            </w:r>
          </w:p>
        </w:tc>
        <w:tc>
          <w:tcPr>
            <w:tcW w:w="1890" w:type="dxa"/>
            <w:tcMar>
              <w:left w:w="0" w:type="dxa"/>
              <w:right w:w="0" w:type="dxa"/>
            </w:tcMar>
          </w:tcPr>
          <w:p w14:paraId="1E81C38C" w14:textId="4B3FF5D6" w:rsidR="00EE7237" w:rsidRPr="00DD647F" w:rsidRDefault="00AD36D9" w:rsidP="00BA4A2D">
            <w:pPr>
              <w:widowControl w:val="0"/>
              <w:spacing w:after="0" w:line="240" w:lineRule="auto"/>
            </w:pPr>
            <w:r w:rsidRPr="00DD647F">
              <w:t>3</w:t>
            </w:r>
          </w:p>
        </w:tc>
      </w:tr>
      <w:tr w:rsidR="00EE7237" w:rsidRPr="00DD647F" w14:paraId="150E06FF" w14:textId="77777777" w:rsidTr="00BA4A2D">
        <w:trPr>
          <w:trHeight w:hRule="exact" w:val="270"/>
        </w:trPr>
        <w:tc>
          <w:tcPr>
            <w:tcW w:w="1350" w:type="dxa"/>
            <w:tcMar>
              <w:left w:w="0" w:type="dxa"/>
              <w:right w:w="0" w:type="dxa"/>
            </w:tcMar>
          </w:tcPr>
          <w:p w14:paraId="0E025C96" w14:textId="1F8750D0" w:rsidR="00EE7237" w:rsidRPr="00DD647F" w:rsidRDefault="00EE7237" w:rsidP="00BA4A2D">
            <w:pPr>
              <w:widowControl w:val="0"/>
              <w:spacing w:after="0" w:line="240" w:lineRule="auto"/>
            </w:pPr>
            <w:r w:rsidRPr="00DD647F">
              <w:t>D</w:t>
            </w:r>
          </w:p>
        </w:tc>
        <w:tc>
          <w:tcPr>
            <w:tcW w:w="1890" w:type="dxa"/>
            <w:tcMar>
              <w:left w:w="0" w:type="dxa"/>
              <w:right w:w="0" w:type="dxa"/>
            </w:tcMar>
          </w:tcPr>
          <w:p w14:paraId="0BA6B22C" w14:textId="5A84657C" w:rsidR="00EE7237" w:rsidRPr="00DD647F" w:rsidRDefault="00AD36D9" w:rsidP="00BA4A2D">
            <w:pPr>
              <w:widowControl w:val="0"/>
              <w:spacing w:after="0" w:line="240" w:lineRule="auto"/>
            </w:pPr>
            <w:r w:rsidRPr="00DD647F">
              <w:t>2</w:t>
            </w:r>
          </w:p>
        </w:tc>
      </w:tr>
      <w:tr w:rsidR="00EE7237" w:rsidRPr="00DD647F" w14:paraId="10FF1C61" w14:textId="77777777" w:rsidTr="00BA4A2D">
        <w:trPr>
          <w:trHeight w:hRule="exact" w:val="279"/>
        </w:trPr>
        <w:tc>
          <w:tcPr>
            <w:tcW w:w="1350" w:type="dxa"/>
            <w:tcMar>
              <w:left w:w="0" w:type="dxa"/>
              <w:right w:w="0" w:type="dxa"/>
            </w:tcMar>
          </w:tcPr>
          <w:p w14:paraId="18CA33DC" w14:textId="04249090" w:rsidR="00EE7237" w:rsidRPr="00DD647F" w:rsidRDefault="00EE7237" w:rsidP="00BA4A2D">
            <w:pPr>
              <w:widowControl w:val="0"/>
              <w:spacing w:after="0" w:line="240" w:lineRule="auto"/>
            </w:pPr>
            <w:r w:rsidRPr="00DD647F">
              <w:t>D-</w:t>
            </w:r>
          </w:p>
        </w:tc>
        <w:tc>
          <w:tcPr>
            <w:tcW w:w="1890" w:type="dxa"/>
            <w:tcMar>
              <w:left w:w="0" w:type="dxa"/>
              <w:right w:w="0" w:type="dxa"/>
            </w:tcMar>
          </w:tcPr>
          <w:p w14:paraId="203449C7" w14:textId="20BF395E" w:rsidR="00EE7237" w:rsidRPr="00DD647F" w:rsidRDefault="00AD36D9" w:rsidP="00BA4A2D">
            <w:pPr>
              <w:widowControl w:val="0"/>
              <w:spacing w:after="0" w:line="240" w:lineRule="auto"/>
            </w:pPr>
            <w:r w:rsidRPr="00DD647F">
              <w:t>1</w:t>
            </w:r>
          </w:p>
        </w:tc>
      </w:tr>
      <w:tr w:rsidR="00EE7237" w:rsidRPr="00DD647F" w14:paraId="2E02C872" w14:textId="77777777" w:rsidTr="00BA4A2D">
        <w:trPr>
          <w:trHeight w:hRule="exact" w:val="270"/>
        </w:trPr>
        <w:tc>
          <w:tcPr>
            <w:tcW w:w="1350" w:type="dxa"/>
            <w:tcBorders>
              <w:bottom w:val="single" w:sz="4" w:space="0" w:color="auto"/>
            </w:tcBorders>
            <w:tcMar>
              <w:left w:w="0" w:type="dxa"/>
              <w:right w:w="0" w:type="dxa"/>
            </w:tcMar>
          </w:tcPr>
          <w:p w14:paraId="4AA74121" w14:textId="67E22D0F" w:rsidR="00EE7237" w:rsidRPr="00DD647F" w:rsidRDefault="00EE7237" w:rsidP="00BA4A2D">
            <w:pPr>
              <w:widowControl w:val="0"/>
              <w:spacing w:after="0" w:line="240" w:lineRule="auto"/>
            </w:pPr>
            <w:r w:rsidRPr="00DD647F">
              <w:t>F</w:t>
            </w:r>
          </w:p>
        </w:tc>
        <w:tc>
          <w:tcPr>
            <w:tcW w:w="1890" w:type="dxa"/>
            <w:tcBorders>
              <w:bottom w:val="single" w:sz="4" w:space="0" w:color="auto"/>
            </w:tcBorders>
            <w:tcMar>
              <w:left w:w="0" w:type="dxa"/>
              <w:right w:w="0" w:type="dxa"/>
            </w:tcMar>
          </w:tcPr>
          <w:p w14:paraId="0D7A75B8" w14:textId="5DA8E566" w:rsidR="00EE7237" w:rsidRPr="00DD647F" w:rsidRDefault="00EE7237" w:rsidP="00BA4A2D">
            <w:pPr>
              <w:widowControl w:val="0"/>
              <w:spacing w:after="0" w:line="240" w:lineRule="auto"/>
            </w:pPr>
            <w:r w:rsidRPr="00DD647F">
              <w:t>0</w:t>
            </w:r>
          </w:p>
        </w:tc>
      </w:tr>
    </w:tbl>
    <w:p w14:paraId="4BDBA0F4" w14:textId="46B2EA51" w:rsidR="00FB41AA" w:rsidRPr="00AD36D9" w:rsidRDefault="00FB41AA" w:rsidP="00BA4A2D">
      <w:pPr>
        <w:widowControl w:val="0"/>
        <w:spacing w:after="0" w:line="240" w:lineRule="auto"/>
        <w:rPr>
          <w:rFonts w:ascii="Times New Roman" w:hAnsi="Times New Roman" w:cs="Times New Roman"/>
          <w:sz w:val="24"/>
          <w:szCs w:val="24"/>
        </w:rPr>
      </w:pPr>
    </w:p>
    <w:p w14:paraId="43BA8A2E" w14:textId="32896529" w:rsidR="00FB41AA" w:rsidRPr="00AD36D9" w:rsidRDefault="00FB41AA" w:rsidP="00BA4A2D">
      <w:pPr>
        <w:widowControl w:val="0"/>
        <w:spacing w:after="0" w:line="480" w:lineRule="auto"/>
        <w:rPr>
          <w:rFonts w:ascii="Times New Roman" w:hAnsi="Times New Roman" w:cs="Times New Roman"/>
          <w:b/>
          <w:sz w:val="24"/>
          <w:szCs w:val="24"/>
        </w:rPr>
      </w:pPr>
      <w:r w:rsidRPr="00AD36D9">
        <w:rPr>
          <w:rFonts w:ascii="Times New Roman" w:hAnsi="Times New Roman" w:cs="Times New Roman"/>
          <w:b/>
          <w:sz w:val="24"/>
          <w:szCs w:val="24"/>
        </w:rPr>
        <w:t>Student Demographics Survey</w:t>
      </w:r>
    </w:p>
    <w:p w14:paraId="6653E2DF" w14:textId="517E42A8" w:rsidR="00FB41AA" w:rsidRPr="00AD36D9" w:rsidRDefault="00FB41AA" w:rsidP="00BA4A2D">
      <w:pPr>
        <w:widowControl w:val="0"/>
        <w:spacing w:after="0" w:line="480" w:lineRule="auto"/>
        <w:rPr>
          <w:rFonts w:ascii="Times New Roman" w:hAnsi="Times New Roman" w:cs="Times New Roman"/>
          <w:sz w:val="24"/>
          <w:szCs w:val="24"/>
        </w:rPr>
      </w:pPr>
      <w:r w:rsidRPr="00AD36D9">
        <w:rPr>
          <w:rFonts w:ascii="Times New Roman" w:hAnsi="Times New Roman" w:cs="Times New Roman"/>
          <w:b/>
          <w:sz w:val="24"/>
          <w:szCs w:val="24"/>
        </w:rPr>
        <w:tab/>
      </w:r>
      <w:r w:rsidRPr="00AD36D9">
        <w:rPr>
          <w:rFonts w:ascii="Times New Roman" w:hAnsi="Times New Roman" w:cs="Times New Roman"/>
          <w:sz w:val="24"/>
          <w:szCs w:val="24"/>
        </w:rPr>
        <w:t>This instrument was written by the researcher for the purpose of gathering basic demographic information about the participants in the study (Appendix A)</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The instrument gather</w:t>
      </w:r>
      <w:r w:rsidR="00F3094E">
        <w:rPr>
          <w:rFonts w:ascii="Times New Roman" w:hAnsi="Times New Roman" w:cs="Times New Roman"/>
          <w:sz w:val="24"/>
          <w:szCs w:val="24"/>
        </w:rPr>
        <w:t>ed</w:t>
      </w:r>
      <w:r w:rsidRPr="00AD36D9">
        <w:rPr>
          <w:rFonts w:ascii="Times New Roman" w:hAnsi="Times New Roman" w:cs="Times New Roman"/>
          <w:sz w:val="24"/>
          <w:szCs w:val="24"/>
        </w:rPr>
        <w:t xml:space="preserve"> information </w:t>
      </w:r>
      <w:r w:rsidR="00C44755" w:rsidRPr="00AD36D9">
        <w:rPr>
          <w:rFonts w:ascii="Times New Roman" w:hAnsi="Times New Roman" w:cs="Times New Roman"/>
          <w:sz w:val="24"/>
          <w:szCs w:val="24"/>
        </w:rPr>
        <w:t>including</w:t>
      </w:r>
      <w:r w:rsidRPr="00AD36D9">
        <w:rPr>
          <w:rFonts w:ascii="Times New Roman" w:hAnsi="Times New Roman" w:cs="Times New Roman"/>
          <w:sz w:val="24"/>
          <w:szCs w:val="24"/>
        </w:rPr>
        <w:t xml:space="preserve"> gender, </w:t>
      </w:r>
      <w:r w:rsidR="00570055" w:rsidRPr="00AD36D9">
        <w:rPr>
          <w:rFonts w:ascii="Times New Roman" w:hAnsi="Times New Roman" w:cs="Times New Roman"/>
          <w:sz w:val="24"/>
          <w:szCs w:val="24"/>
        </w:rPr>
        <w:t>grade level</w:t>
      </w:r>
      <w:r w:rsidRPr="00AD36D9">
        <w:rPr>
          <w:rFonts w:ascii="Times New Roman" w:hAnsi="Times New Roman" w:cs="Times New Roman"/>
          <w:sz w:val="24"/>
          <w:szCs w:val="24"/>
        </w:rPr>
        <w:t>,</w:t>
      </w:r>
      <w:r w:rsidR="00561919">
        <w:rPr>
          <w:rFonts w:ascii="Times New Roman" w:hAnsi="Times New Roman" w:cs="Times New Roman"/>
          <w:sz w:val="24"/>
          <w:szCs w:val="24"/>
        </w:rPr>
        <w:t xml:space="preserve"> </w:t>
      </w:r>
      <w:r w:rsidR="00971BEB">
        <w:rPr>
          <w:rFonts w:ascii="Times New Roman" w:hAnsi="Times New Roman" w:cs="Times New Roman"/>
          <w:sz w:val="24"/>
          <w:szCs w:val="24"/>
        </w:rPr>
        <w:t xml:space="preserve">whether the student enrolled in a future physics course, </w:t>
      </w:r>
      <w:r w:rsidR="00F3094E">
        <w:rPr>
          <w:rFonts w:ascii="Times New Roman" w:hAnsi="Times New Roman" w:cs="Times New Roman"/>
          <w:sz w:val="24"/>
          <w:szCs w:val="24"/>
        </w:rPr>
        <w:t xml:space="preserve">and </w:t>
      </w:r>
      <w:r w:rsidRPr="00AD36D9">
        <w:rPr>
          <w:rFonts w:ascii="Times New Roman" w:hAnsi="Times New Roman" w:cs="Times New Roman"/>
          <w:sz w:val="24"/>
          <w:szCs w:val="24"/>
        </w:rPr>
        <w:t>current mathematics course</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These factors were chose</w:t>
      </w:r>
      <w:r w:rsidR="004C1654" w:rsidRPr="00AD36D9">
        <w:rPr>
          <w:rFonts w:ascii="Times New Roman" w:hAnsi="Times New Roman" w:cs="Times New Roman"/>
          <w:sz w:val="24"/>
          <w:szCs w:val="24"/>
        </w:rPr>
        <w:t>n</w:t>
      </w:r>
      <w:r w:rsidRPr="00AD36D9">
        <w:rPr>
          <w:rFonts w:ascii="Times New Roman" w:hAnsi="Times New Roman" w:cs="Times New Roman"/>
          <w:sz w:val="24"/>
          <w:szCs w:val="24"/>
        </w:rPr>
        <w:t xml:space="preserve"> to allow for the measurement of the dependent </w:t>
      </w:r>
      <w:r w:rsidRPr="00647AEC">
        <w:rPr>
          <w:rFonts w:ascii="Times New Roman" w:hAnsi="Times New Roman" w:cs="Times New Roman"/>
          <w:sz w:val="24"/>
          <w:szCs w:val="24"/>
        </w:rPr>
        <w:t xml:space="preserve">variable, enrollment </w:t>
      </w:r>
      <w:r w:rsidR="00F00CC9" w:rsidRPr="00647AEC">
        <w:rPr>
          <w:rFonts w:ascii="Times New Roman" w:hAnsi="Times New Roman" w:cs="Times New Roman"/>
          <w:sz w:val="24"/>
          <w:szCs w:val="24"/>
        </w:rPr>
        <w:t>decision</w:t>
      </w:r>
      <w:r w:rsidR="00D558FD" w:rsidRPr="00647AEC">
        <w:rPr>
          <w:rFonts w:ascii="Times New Roman" w:hAnsi="Times New Roman" w:cs="Times New Roman"/>
          <w:sz w:val="24"/>
          <w:szCs w:val="24"/>
        </w:rPr>
        <w:t xml:space="preserve"> </w:t>
      </w:r>
      <w:r w:rsidR="00F00CC9" w:rsidRPr="00647AEC">
        <w:rPr>
          <w:rFonts w:ascii="Times New Roman" w:hAnsi="Times New Roman" w:cs="Times New Roman"/>
          <w:sz w:val="24"/>
          <w:szCs w:val="24"/>
        </w:rPr>
        <w:t>(ENRD)</w:t>
      </w:r>
      <w:r w:rsidRPr="00647AEC">
        <w:rPr>
          <w:rFonts w:ascii="Times New Roman" w:hAnsi="Times New Roman" w:cs="Times New Roman"/>
          <w:sz w:val="24"/>
          <w:szCs w:val="24"/>
        </w:rPr>
        <w:t xml:space="preserve"> as well as en</w:t>
      </w:r>
      <w:r w:rsidRPr="00AD36D9">
        <w:rPr>
          <w:rFonts w:ascii="Times New Roman" w:hAnsi="Times New Roman" w:cs="Times New Roman"/>
          <w:sz w:val="24"/>
          <w:szCs w:val="24"/>
        </w:rPr>
        <w:t>ough descriptors to allow the reader of the research to understand the characteristics of the sample</w:t>
      </w:r>
      <w:r w:rsidR="00B11804" w:rsidRPr="00AD36D9">
        <w:rPr>
          <w:rFonts w:ascii="Times New Roman" w:hAnsi="Times New Roman" w:cs="Times New Roman"/>
          <w:sz w:val="24"/>
          <w:szCs w:val="24"/>
        </w:rPr>
        <w:t>.</w:t>
      </w:r>
    </w:p>
    <w:p w14:paraId="3B336EE3" w14:textId="69B85DA2" w:rsidR="00FB41AA" w:rsidRPr="00AD36D9" w:rsidRDefault="00FB41AA" w:rsidP="00BA4A2D">
      <w:pPr>
        <w:widowControl w:val="0"/>
        <w:spacing w:after="0" w:line="480" w:lineRule="auto"/>
        <w:rPr>
          <w:rFonts w:ascii="Times New Roman" w:hAnsi="Times New Roman" w:cs="Times New Roman"/>
          <w:b/>
          <w:sz w:val="24"/>
          <w:szCs w:val="24"/>
        </w:rPr>
      </w:pPr>
      <w:r w:rsidRPr="00AD36D9">
        <w:rPr>
          <w:rFonts w:ascii="Times New Roman" w:hAnsi="Times New Roman" w:cs="Times New Roman"/>
          <w:b/>
          <w:sz w:val="24"/>
          <w:szCs w:val="24"/>
        </w:rPr>
        <w:t>Sources of Self-Efficacy Science Courses – Physics</w:t>
      </w:r>
      <w:r w:rsidR="00FE1D16">
        <w:rPr>
          <w:rFonts w:ascii="Times New Roman" w:hAnsi="Times New Roman" w:cs="Times New Roman"/>
          <w:b/>
          <w:sz w:val="24"/>
          <w:szCs w:val="24"/>
        </w:rPr>
        <w:t xml:space="preserve"> (SOSESC-P)</w:t>
      </w:r>
      <w:r w:rsidRPr="00AD36D9">
        <w:rPr>
          <w:rFonts w:ascii="Times New Roman" w:hAnsi="Times New Roman" w:cs="Times New Roman"/>
          <w:b/>
          <w:sz w:val="24"/>
          <w:szCs w:val="24"/>
        </w:rPr>
        <w:t xml:space="preserve"> </w:t>
      </w:r>
    </w:p>
    <w:p w14:paraId="3880DAEC" w14:textId="1822EA4D" w:rsidR="00973D45" w:rsidRPr="00AD36D9" w:rsidRDefault="00FB41AA" w:rsidP="00BA4A2D">
      <w:pPr>
        <w:widowControl w:val="0"/>
        <w:spacing w:after="0" w:line="480" w:lineRule="auto"/>
        <w:rPr>
          <w:rFonts w:ascii="Times New Roman" w:hAnsi="Times New Roman" w:cs="Times New Roman"/>
          <w:sz w:val="24"/>
          <w:szCs w:val="24"/>
        </w:rPr>
      </w:pPr>
      <w:r w:rsidRPr="00AD36D9">
        <w:rPr>
          <w:rFonts w:ascii="Times New Roman" w:hAnsi="Times New Roman" w:cs="Times New Roman"/>
          <w:sz w:val="24"/>
          <w:szCs w:val="24"/>
        </w:rPr>
        <w:tab/>
        <w:t xml:space="preserve">The SOSESC-P was developed by Fencl and Scheel (2005) to measure a person’s level of self-efficacy while allowing for the disaggregation of data according to Bandura’s four sources </w:t>
      </w:r>
      <w:r w:rsidRPr="00AD36D9">
        <w:rPr>
          <w:rFonts w:ascii="Times New Roman" w:hAnsi="Times New Roman" w:cs="Times New Roman"/>
          <w:sz w:val="24"/>
          <w:szCs w:val="24"/>
        </w:rPr>
        <w:lastRenderedPageBreak/>
        <w:t>of self-efficacy (Appendix C)</w:t>
      </w:r>
      <w:r w:rsidR="00831864">
        <w:rPr>
          <w:rFonts w:ascii="Times New Roman" w:hAnsi="Times New Roman" w:cs="Times New Roman"/>
          <w:sz w:val="24"/>
          <w:szCs w:val="24"/>
        </w:rPr>
        <w:t>, which</w:t>
      </w:r>
      <w:r w:rsidRPr="00AD36D9">
        <w:rPr>
          <w:rFonts w:ascii="Times New Roman" w:hAnsi="Times New Roman" w:cs="Times New Roman"/>
          <w:sz w:val="24"/>
          <w:szCs w:val="24"/>
        </w:rPr>
        <w:t xml:space="preserve"> </w:t>
      </w:r>
      <w:r w:rsidR="00831864" w:rsidRPr="00AD36D9">
        <w:rPr>
          <w:rFonts w:ascii="Times New Roman" w:hAnsi="Times New Roman" w:cs="Times New Roman"/>
          <w:sz w:val="24"/>
          <w:szCs w:val="24"/>
        </w:rPr>
        <w:t>include</w:t>
      </w:r>
      <w:r w:rsidRPr="00AD36D9">
        <w:rPr>
          <w:rFonts w:ascii="Times New Roman" w:hAnsi="Times New Roman" w:cs="Times New Roman"/>
          <w:sz w:val="24"/>
          <w:szCs w:val="24"/>
        </w:rPr>
        <w:t xml:space="preserve"> mastery experiences, vicarious learning, social persuasion, and physiological state. The SOSESC-P was chosen as the instrument to measure level of self-efficacy as both an overall level and disaggregated scores on each of Banda’s four sources </w:t>
      </w:r>
      <w:r w:rsidR="005516B0">
        <w:rPr>
          <w:rFonts w:ascii="Times New Roman" w:hAnsi="Times New Roman" w:cs="Times New Roman"/>
          <w:sz w:val="24"/>
          <w:szCs w:val="24"/>
        </w:rPr>
        <w:t>was</w:t>
      </w:r>
      <w:r w:rsidR="005516B0" w:rsidRPr="00AD36D9">
        <w:rPr>
          <w:rFonts w:ascii="Times New Roman" w:hAnsi="Times New Roman" w:cs="Times New Roman"/>
          <w:sz w:val="24"/>
          <w:szCs w:val="24"/>
        </w:rPr>
        <w:t xml:space="preserve"> </w:t>
      </w:r>
      <w:r w:rsidRPr="00AD36D9">
        <w:rPr>
          <w:rFonts w:ascii="Times New Roman" w:hAnsi="Times New Roman" w:cs="Times New Roman"/>
          <w:sz w:val="24"/>
          <w:szCs w:val="24"/>
        </w:rPr>
        <w:t>possible</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The instrument is a 33</w:t>
      </w:r>
      <w:r w:rsidR="00B11804" w:rsidRPr="00AD36D9">
        <w:rPr>
          <w:rFonts w:ascii="Times New Roman" w:hAnsi="Times New Roman" w:cs="Times New Roman"/>
          <w:sz w:val="24"/>
          <w:szCs w:val="24"/>
        </w:rPr>
        <w:t>-</w:t>
      </w:r>
      <w:r w:rsidRPr="00AD36D9">
        <w:rPr>
          <w:rFonts w:ascii="Times New Roman" w:hAnsi="Times New Roman" w:cs="Times New Roman"/>
          <w:sz w:val="24"/>
          <w:szCs w:val="24"/>
        </w:rPr>
        <w:t>item survey with</w:t>
      </w:r>
      <w:r w:rsidR="0014055B">
        <w:rPr>
          <w:rFonts w:ascii="Times New Roman" w:hAnsi="Times New Roman" w:cs="Times New Roman"/>
          <w:sz w:val="24"/>
          <w:szCs w:val="24"/>
        </w:rPr>
        <w:t xml:space="preserve"> </w:t>
      </w:r>
      <w:r w:rsidRPr="00AD36D9">
        <w:rPr>
          <w:rFonts w:ascii="Times New Roman" w:hAnsi="Times New Roman" w:cs="Times New Roman"/>
          <w:sz w:val="24"/>
          <w:szCs w:val="24"/>
        </w:rPr>
        <w:t>five</w:t>
      </w:r>
      <w:r w:rsidR="0014055B">
        <w:rPr>
          <w:rFonts w:ascii="Times New Roman" w:hAnsi="Times New Roman" w:cs="Times New Roman"/>
          <w:sz w:val="24"/>
          <w:szCs w:val="24"/>
        </w:rPr>
        <w:t>-</w:t>
      </w:r>
      <w:r w:rsidRPr="00AD36D9">
        <w:rPr>
          <w:rFonts w:ascii="Times New Roman" w:hAnsi="Times New Roman" w:cs="Times New Roman"/>
          <w:sz w:val="24"/>
          <w:szCs w:val="24"/>
        </w:rPr>
        <w:t>point Likert scale responses to indicate agreement with statements of physics ability</w:t>
      </w:r>
      <w:r w:rsidR="008E3CA0" w:rsidRPr="00AD36D9">
        <w:rPr>
          <w:rFonts w:ascii="Times New Roman" w:hAnsi="Times New Roman" w:cs="Times New Roman"/>
          <w:sz w:val="24"/>
          <w:szCs w:val="24"/>
        </w:rPr>
        <w:t xml:space="preserve"> self-efficacy</w:t>
      </w:r>
      <w:r w:rsidRPr="00AD36D9">
        <w:rPr>
          <w:rFonts w:ascii="Times New Roman" w:hAnsi="Times New Roman" w:cs="Times New Roman"/>
          <w:sz w:val="24"/>
          <w:szCs w:val="24"/>
        </w:rPr>
        <w:t xml:space="preserve">. </w:t>
      </w:r>
      <w:r w:rsidR="000D59D4" w:rsidRPr="00AD36D9">
        <w:rPr>
          <w:rFonts w:ascii="Times New Roman" w:hAnsi="Times New Roman" w:cs="Times New Roman"/>
          <w:sz w:val="24"/>
          <w:szCs w:val="24"/>
        </w:rPr>
        <w:t>Participant</w:t>
      </w:r>
      <w:r w:rsidR="007109D7">
        <w:rPr>
          <w:rFonts w:ascii="Times New Roman" w:hAnsi="Times New Roman" w:cs="Times New Roman"/>
          <w:sz w:val="24"/>
          <w:szCs w:val="24"/>
        </w:rPr>
        <w:t>s’</w:t>
      </w:r>
      <w:r w:rsidR="000D59D4" w:rsidRPr="00AD36D9">
        <w:rPr>
          <w:rFonts w:ascii="Times New Roman" w:hAnsi="Times New Roman" w:cs="Times New Roman"/>
          <w:sz w:val="24"/>
          <w:szCs w:val="24"/>
        </w:rPr>
        <w:t xml:space="preserve"> responses on each item </w:t>
      </w:r>
      <w:r w:rsidR="005516B0">
        <w:rPr>
          <w:rFonts w:ascii="Times New Roman" w:hAnsi="Times New Roman" w:cs="Times New Roman"/>
          <w:sz w:val="24"/>
          <w:szCs w:val="24"/>
        </w:rPr>
        <w:t>ranged</w:t>
      </w:r>
      <w:r w:rsidR="000D59D4" w:rsidRPr="00AD36D9">
        <w:rPr>
          <w:rFonts w:ascii="Times New Roman" w:hAnsi="Times New Roman" w:cs="Times New Roman"/>
          <w:sz w:val="24"/>
          <w:szCs w:val="24"/>
        </w:rPr>
        <w:t xml:space="preserve"> from </w:t>
      </w:r>
      <w:r w:rsidR="00EA5649">
        <w:rPr>
          <w:rFonts w:ascii="Times New Roman" w:hAnsi="Times New Roman" w:cs="Times New Roman"/>
          <w:sz w:val="24"/>
          <w:szCs w:val="24"/>
        </w:rPr>
        <w:t>scores of 1</w:t>
      </w:r>
      <w:r w:rsidR="00296663">
        <w:rPr>
          <w:rFonts w:ascii="Times New Roman" w:hAnsi="Times New Roman" w:cs="Times New Roman"/>
          <w:sz w:val="24"/>
          <w:szCs w:val="24"/>
        </w:rPr>
        <w:t xml:space="preserve"> = strongly disagree</w:t>
      </w:r>
      <w:r w:rsidR="00EA5649">
        <w:rPr>
          <w:rFonts w:ascii="Times New Roman" w:hAnsi="Times New Roman" w:cs="Times New Roman"/>
          <w:sz w:val="24"/>
          <w:szCs w:val="24"/>
        </w:rPr>
        <w:t xml:space="preserve"> </w:t>
      </w:r>
      <w:r w:rsidR="000D59D4" w:rsidRPr="00AD36D9">
        <w:rPr>
          <w:rFonts w:ascii="Times New Roman" w:hAnsi="Times New Roman" w:cs="Times New Roman"/>
          <w:sz w:val="24"/>
          <w:szCs w:val="24"/>
        </w:rPr>
        <w:t>to 5</w:t>
      </w:r>
      <w:r w:rsidR="00296663">
        <w:rPr>
          <w:rFonts w:ascii="Times New Roman" w:hAnsi="Times New Roman" w:cs="Times New Roman"/>
          <w:sz w:val="24"/>
          <w:szCs w:val="24"/>
        </w:rPr>
        <w:t xml:space="preserve"> = strongly agree</w:t>
      </w:r>
      <w:r w:rsidR="009A3569">
        <w:rPr>
          <w:rFonts w:ascii="Times New Roman" w:hAnsi="Times New Roman" w:cs="Times New Roman"/>
          <w:sz w:val="24"/>
          <w:szCs w:val="24"/>
        </w:rPr>
        <w:t>.</w:t>
      </w:r>
      <w:r w:rsidR="009A3569" w:rsidRPr="00AD36D9">
        <w:rPr>
          <w:rFonts w:ascii="Times New Roman" w:hAnsi="Times New Roman" w:cs="Times New Roman"/>
          <w:sz w:val="24"/>
          <w:szCs w:val="24"/>
        </w:rPr>
        <w:t xml:space="preserve"> </w:t>
      </w:r>
    </w:p>
    <w:p w14:paraId="75123F6B" w14:textId="0E7E1BC9" w:rsidR="00871248" w:rsidRPr="00AD36D9" w:rsidRDefault="00FF5098" w:rsidP="00BA4A2D">
      <w:pPr>
        <w:widowControl w:val="0"/>
        <w:spacing w:after="0" w:line="480" w:lineRule="auto"/>
        <w:ind w:firstLine="720"/>
        <w:rPr>
          <w:rFonts w:ascii="Times New Roman" w:hAnsi="Times New Roman" w:cs="Times New Roman"/>
          <w:sz w:val="24"/>
          <w:szCs w:val="24"/>
        </w:rPr>
      </w:pPr>
      <w:r w:rsidRPr="00AD36D9">
        <w:rPr>
          <w:rFonts w:ascii="Times New Roman" w:hAnsi="Times New Roman" w:cs="Times New Roman"/>
          <w:sz w:val="24"/>
          <w:szCs w:val="24"/>
        </w:rPr>
        <w:t xml:space="preserve">Each item in the instrument was written to assess level of self-efficacy specifically associated with Bandura’s four sources of self-efficacy. Item numbers marked with an R </w:t>
      </w:r>
      <w:r w:rsidR="005516B0">
        <w:rPr>
          <w:rFonts w:ascii="Times New Roman" w:hAnsi="Times New Roman" w:cs="Times New Roman"/>
          <w:sz w:val="24"/>
          <w:szCs w:val="24"/>
        </w:rPr>
        <w:t>were</w:t>
      </w:r>
      <w:r w:rsidR="005516B0"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reverse scored such that so that a five on the Likert scales corresponds </w:t>
      </w:r>
      <w:r w:rsidR="006D4813" w:rsidRPr="00AD36D9">
        <w:rPr>
          <w:rFonts w:ascii="Times New Roman" w:hAnsi="Times New Roman" w:cs="Times New Roman"/>
          <w:sz w:val="24"/>
          <w:szCs w:val="24"/>
        </w:rPr>
        <w:t>with higher levels of self-</w:t>
      </w:r>
      <w:r w:rsidR="00E03708" w:rsidRPr="00AD36D9">
        <w:rPr>
          <w:rFonts w:ascii="Times New Roman" w:hAnsi="Times New Roman" w:cs="Times New Roman"/>
          <w:sz w:val="24"/>
          <w:szCs w:val="24"/>
        </w:rPr>
        <w:t>efficacy</w:t>
      </w:r>
      <w:r w:rsidR="00E84807" w:rsidRPr="00AD36D9">
        <w:rPr>
          <w:rFonts w:ascii="Times New Roman" w:hAnsi="Times New Roman" w:cs="Times New Roman"/>
          <w:sz w:val="24"/>
          <w:szCs w:val="24"/>
        </w:rPr>
        <w:t xml:space="preserve"> </w:t>
      </w:r>
      <w:r w:rsidR="00E03708" w:rsidRPr="00AD36D9">
        <w:rPr>
          <w:rFonts w:ascii="Times New Roman" w:hAnsi="Times New Roman" w:cs="Times New Roman"/>
          <w:sz w:val="24"/>
          <w:szCs w:val="24"/>
        </w:rPr>
        <w:t>(</w:t>
      </w:r>
      <w:r w:rsidR="000D59D4" w:rsidRPr="00AD36D9">
        <w:rPr>
          <w:rFonts w:ascii="Times New Roman" w:hAnsi="Times New Roman" w:cs="Times New Roman"/>
          <w:sz w:val="24"/>
          <w:szCs w:val="24"/>
        </w:rPr>
        <w:t>Appendix C</w:t>
      </w:r>
      <w:r w:rsidR="00E03708" w:rsidRPr="00AD36D9">
        <w:rPr>
          <w:rFonts w:ascii="Times New Roman" w:hAnsi="Times New Roman" w:cs="Times New Roman"/>
          <w:sz w:val="24"/>
          <w:szCs w:val="24"/>
        </w:rPr>
        <w:t>)</w:t>
      </w:r>
      <w:r w:rsidRPr="00AD36D9">
        <w:rPr>
          <w:rFonts w:ascii="Times New Roman" w:hAnsi="Times New Roman" w:cs="Times New Roman"/>
          <w:sz w:val="24"/>
          <w:szCs w:val="24"/>
        </w:rPr>
        <w:t>.</w:t>
      </w:r>
      <w:r w:rsidR="00E84807" w:rsidRPr="00AD36D9">
        <w:rPr>
          <w:rFonts w:ascii="Times New Roman" w:hAnsi="Times New Roman" w:cs="Times New Roman"/>
          <w:sz w:val="24"/>
          <w:szCs w:val="24"/>
        </w:rPr>
        <w:t xml:space="preserve"> After reverse scoring </w:t>
      </w:r>
      <w:r w:rsidR="00304165">
        <w:rPr>
          <w:rFonts w:ascii="Times New Roman" w:hAnsi="Times New Roman" w:cs="Times New Roman"/>
          <w:sz w:val="24"/>
          <w:szCs w:val="24"/>
        </w:rPr>
        <w:t>was</w:t>
      </w:r>
      <w:r w:rsidR="00E84807" w:rsidRPr="00AD36D9">
        <w:rPr>
          <w:rFonts w:ascii="Times New Roman" w:hAnsi="Times New Roman" w:cs="Times New Roman"/>
          <w:sz w:val="24"/>
          <w:szCs w:val="24"/>
        </w:rPr>
        <w:t xml:space="preserve"> applied to participant responses, an overall average level of self-efficac</w:t>
      </w:r>
      <w:r w:rsidR="00304165">
        <w:rPr>
          <w:rFonts w:ascii="Times New Roman" w:hAnsi="Times New Roman" w:cs="Times New Roman"/>
          <w:sz w:val="24"/>
          <w:szCs w:val="24"/>
        </w:rPr>
        <w:t>y (SE) score was</w:t>
      </w:r>
      <w:r w:rsidR="00F6571F" w:rsidRPr="00AD36D9">
        <w:rPr>
          <w:rFonts w:ascii="Times New Roman" w:hAnsi="Times New Roman" w:cs="Times New Roman"/>
          <w:sz w:val="24"/>
          <w:szCs w:val="24"/>
        </w:rPr>
        <w:t xml:space="preserve"> assigned.</w:t>
      </w:r>
      <w:r w:rsidR="00E84807" w:rsidRPr="00AD36D9">
        <w:rPr>
          <w:rFonts w:ascii="Times New Roman" w:hAnsi="Times New Roman" w:cs="Times New Roman"/>
          <w:sz w:val="24"/>
          <w:szCs w:val="24"/>
        </w:rPr>
        <w:t xml:space="preserve"> Scores from each of the four sources: mastery experiences (ME), vicarious learning (VL), social persuasion (SP), and physiological state (PS) </w:t>
      </w:r>
      <w:r w:rsidR="00304165">
        <w:rPr>
          <w:rFonts w:ascii="Times New Roman" w:hAnsi="Times New Roman" w:cs="Times New Roman"/>
          <w:sz w:val="24"/>
          <w:szCs w:val="24"/>
        </w:rPr>
        <w:t>were</w:t>
      </w:r>
      <w:r w:rsidR="00E84807" w:rsidRPr="00AD36D9">
        <w:rPr>
          <w:rFonts w:ascii="Times New Roman" w:hAnsi="Times New Roman" w:cs="Times New Roman"/>
          <w:sz w:val="24"/>
          <w:szCs w:val="24"/>
        </w:rPr>
        <w:t xml:space="preserve"> determined by averaging </w:t>
      </w:r>
      <w:r w:rsidR="00871248" w:rsidRPr="00AD36D9">
        <w:rPr>
          <w:rFonts w:ascii="Times New Roman" w:hAnsi="Times New Roman" w:cs="Times New Roman"/>
          <w:sz w:val="24"/>
          <w:szCs w:val="24"/>
        </w:rPr>
        <w:t>participant scores within eac</w:t>
      </w:r>
      <w:r w:rsidR="00E03708" w:rsidRPr="00AD36D9">
        <w:rPr>
          <w:rFonts w:ascii="Times New Roman" w:hAnsi="Times New Roman" w:cs="Times New Roman"/>
          <w:sz w:val="24"/>
          <w:szCs w:val="24"/>
        </w:rPr>
        <w:t>h source</w:t>
      </w:r>
      <w:r w:rsidR="00871248" w:rsidRPr="00AD36D9">
        <w:rPr>
          <w:rFonts w:ascii="Times New Roman" w:hAnsi="Times New Roman" w:cs="Times New Roman"/>
          <w:sz w:val="24"/>
          <w:szCs w:val="24"/>
        </w:rPr>
        <w:t xml:space="preserve">. </w:t>
      </w:r>
      <w:r w:rsidR="00E03708" w:rsidRPr="00AD36D9">
        <w:rPr>
          <w:rFonts w:ascii="Times New Roman" w:hAnsi="Times New Roman" w:cs="Times New Roman"/>
          <w:sz w:val="24"/>
          <w:szCs w:val="24"/>
        </w:rPr>
        <w:t xml:space="preserve">Ten items assess ME, seven items assess VL, seven items assess SP, and nine items assess </w:t>
      </w:r>
      <w:r w:rsidR="00777D98" w:rsidRPr="00AD36D9">
        <w:rPr>
          <w:rFonts w:ascii="Times New Roman" w:hAnsi="Times New Roman" w:cs="Times New Roman"/>
          <w:sz w:val="24"/>
          <w:szCs w:val="24"/>
        </w:rPr>
        <w:t>PS.</w:t>
      </w:r>
      <w:r w:rsidR="00561919">
        <w:rPr>
          <w:rFonts w:ascii="Times New Roman" w:hAnsi="Times New Roman" w:cs="Times New Roman"/>
          <w:sz w:val="24"/>
          <w:szCs w:val="24"/>
        </w:rPr>
        <w:t xml:space="preserve"> </w:t>
      </w:r>
      <w:r w:rsidR="00343062">
        <w:rPr>
          <w:rFonts w:ascii="Times New Roman" w:hAnsi="Times New Roman" w:cs="Times New Roman"/>
          <w:sz w:val="24"/>
          <w:szCs w:val="24"/>
        </w:rPr>
        <w:t>The resulting average level of self-efficacy can range from 1.0 to 5.0 for each source.</w:t>
      </w:r>
    </w:p>
    <w:p w14:paraId="63227DCA" w14:textId="0B9B105B" w:rsidR="00FB41AA" w:rsidRPr="00AD36D9" w:rsidRDefault="00FB41AA" w:rsidP="00BA4A2D">
      <w:pPr>
        <w:pStyle w:val="Heading2"/>
      </w:pPr>
      <w:bookmarkStart w:id="39" w:name="_Toc117501923"/>
      <w:r w:rsidRPr="00AD36D9">
        <w:t>Validity and Reliability</w:t>
      </w:r>
      <w:bookmarkEnd w:id="39"/>
    </w:p>
    <w:p w14:paraId="7B3F0849" w14:textId="0A09E4C0" w:rsidR="006951E7" w:rsidRPr="00AD36D9" w:rsidRDefault="006951E7" w:rsidP="00BA4A2D">
      <w:pPr>
        <w:widowControl w:val="0"/>
        <w:spacing w:after="0" w:line="480" w:lineRule="auto"/>
        <w:ind w:firstLine="720"/>
        <w:rPr>
          <w:rFonts w:ascii="Times New Roman" w:hAnsi="Times New Roman" w:cs="Times New Roman"/>
          <w:sz w:val="24"/>
          <w:szCs w:val="24"/>
        </w:rPr>
      </w:pPr>
      <w:r w:rsidRPr="00AD36D9">
        <w:rPr>
          <w:rFonts w:ascii="Times New Roman" w:hAnsi="Times New Roman" w:cs="Times New Roman"/>
          <w:sz w:val="24"/>
          <w:szCs w:val="24"/>
        </w:rPr>
        <w:t xml:space="preserve">The </w:t>
      </w:r>
      <w:r w:rsidR="00BC22AB">
        <w:rPr>
          <w:rFonts w:ascii="Times New Roman" w:hAnsi="Times New Roman" w:cs="Times New Roman"/>
          <w:sz w:val="24"/>
          <w:szCs w:val="24"/>
        </w:rPr>
        <w:t>FCI (</w:t>
      </w:r>
      <w:r w:rsidRPr="00AD36D9">
        <w:rPr>
          <w:rFonts w:ascii="Times New Roman" w:hAnsi="Times New Roman" w:cs="Times New Roman"/>
          <w:sz w:val="24"/>
          <w:szCs w:val="24"/>
        </w:rPr>
        <w:t>H</w:t>
      </w:r>
      <w:r w:rsidR="00871248" w:rsidRPr="00AD36D9">
        <w:rPr>
          <w:rFonts w:ascii="Times New Roman" w:hAnsi="Times New Roman" w:cs="Times New Roman"/>
          <w:sz w:val="24"/>
          <w:szCs w:val="24"/>
        </w:rPr>
        <w:t>estenes</w:t>
      </w:r>
      <w:r w:rsidR="00432DE6" w:rsidRPr="00AD36D9">
        <w:rPr>
          <w:rFonts w:ascii="Times New Roman" w:hAnsi="Times New Roman" w:cs="Times New Roman"/>
          <w:sz w:val="24"/>
          <w:szCs w:val="24"/>
        </w:rPr>
        <w:t xml:space="preserve"> et al.</w:t>
      </w:r>
      <w:r w:rsidR="00BC22AB">
        <w:rPr>
          <w:rFonts w:ascii="Times New Roman" w:hAnsi="Times New Roman" w:cs="Times New Roman"/>
          <w:sz w:val="24"/>
          <w:szCs w:val="24"/>
        </w:rPr>
        <w:t xml:space="preserve">, </w:t>
      </w:r>
      <w:r w:rsidR="00871248" w:rsidRPr="00AD36D9">
        <w:rPr>
          <w:rFonts w:ascii="Times New Roman" w:hAnsi="Times New Roman" w:cs="Times New Roman"/>
          <w:sz w:val="24"/>
          <w:szCs w:val="24"/>
        </w:rPr>
        <w:t>1992)</w:t>
      </w:r>
      <w:r w:rsidRPr="00AD36D9">
        <w:rPr>
          <w:rFonts w:ascii="Times New Roman" w:hAnsi="Times New Roman" w:cs="Times New Roman"/>
          <w:sz w:val="24"/>
          <w:szCs w:val="24"/>
        </w:rPr>
        <w:t xml:space="preserve"> was administered to over 1</w:t>
      </w:r>
      <w:r w:rsidR="00255B2A">
        <w:rPr>
          <w:rFonts w:ascii="Times New Roman" w:hAnsi="Times New Roman" w:cs="Times New Roman"/>
          <w:sz w:val="24"/>
          <w:szCs w:val="24"/>
        </w:rPr>
        <w:t>,</w:t>
      </w:r>
      <w:r w:rsidRPr="00AD36D9">
        <w:rPr>
          <w:rFonts w:ascii="Times New Roman" w:hAnsi="Times New Roman" w:cs="Times New Roman"/>
          <w:sz w:val="24"/>
          <w:szCs w:val="24"/>
        </w:rPr>
        <w:t xml:space="preserve">500 high </w:t>
      </w:r>
      <w:r w:rsidR="003D3169" w:rsidRPr="00AD36D9">
        <w:rPr>
          <w:rFonts w:ascii="Times New Roman" w:hAnsi="Times New Roman" w:cs="Times New Roman"/>
          <w:sz w:val="24"/>
          <w:szCs w:val="24"/>
        </w:rPr>
        <w:t>school students as pre and post</w:t>
      </w:r>
      <w:r w:rsidR="00432DE6" w:rsidRPr="00AD36D9">
        <w:rPr>
          <w:rFonts w:ascii="Times New Roman" w:hAnsi="Times New Roman" w:cs="Times New Roman"/>
          <w:sz w:val="24"/>
          <w:szCs w:val="24"/>
        </w:rPr>
        <w:t xml:space="preserve">test. </w:t>
      </w:r>
      <w:r w:rsidRPr="00AD36D9">
        <w:rPr>
          <w:rFonts w:ascii="Times New Roman" w:hAnsi="Times New Roman" w:cs="Times New Roman"/>
          <w:sz w:val="24"/>
          <w:szCs w:val="24"/>
        </w:rPr>
        <w:t>These same students were given the Mechanics Diagnostic test in pre</w:t>
      </w:r>
      <w:r w:rsidR="00255B2A">
        <w:rPr>
          <w:rFonts w:ascii="Times New Roman" w:hAnsi="Times New Roman" w:cs="Times New Roman"/>
          <w:sz w:val="24"/>
          <w:szCs w:val="24"/>
        </w:rPr>
        <w:t>-</w:t>
      </w:r>
      <w:r w:rsidRPr="00AD36D9">
        <w:rPr>
          <w:rFonts w:ascii="Times New Roman" w:hAnsi="Times New Roman" w:cs="Times New Roman"/>
          <w:sz w:val="24"/>
          <w:szCs w:val="24"/>
        </w:rPr>
        <w:t xml:space="preserve"> and post</w:t>
      </w:r>
      <w:r w:rsidR="00255B2A">
        <w:rPr>
          <w:rFonts w:ascii="Times New Roman" w:hAnsi="Times New Roman" w:cs="Times New Roman"/>
          <w:sz w:val="24"/>
          <w:szCs w:val="24"/>
        </w:rPr>
        <w:t>-</w:t>
      </w:r>
      <w:r w:rsidRPr="00AD36D9">
        <w:rPr>
          <w:rFonts w:ascii="Times New Roman" w:hAnsi="Times New Roman" w:cs="Times New Roman"/>
          <w:sz w:val="24"/>
          <w:szCs w:val="24"/>
        </w:rPr>
        <w:t xml:space="preserve"> formats as well. Percentage scores for each diagnostic were nearly identical while drawing from seven different teachers. The strong alignment with the Mechanics Diagnostic supports the reliability of the FCI. As a measure of validity, students were interviewed after taking the FCI. Their verbal responses to questions matched the misconceptions uncovered by the FCI test.</w:t>
      </w:r>
    </w:p>
    <w:p w14:paraId="7696CE93" w14:textId="424599E3" w:rsidR="00570055" w:rsidRPr="00AD36D9" w:rsidRDefault="00FB41AA" w:rsidP="00BA4A2D">
      <w:pPr>
        <w:widowControl w:val="0"/>
        <w:spacing w:after="0" w:line="480" w:lineRule="auto"/>
        <w:ind w:firstLine="720"/>
        <w:rPr>
          <w:rFonts w:ascii="Times New Roman" w:hAnsi="Times New Roman" w:cs="Times New Roman"/>
          <w:sz w:val="24"/>
          <w:szCs w:val="24"/>
        </w:rPr>
      </w:pPr>
      <w:r w:rsidRPr="00AD36D9">
        <w:rPr>
          <w:rFonts w:ascii="Times New Roman" w:hAnsi="Times New Roman" w:cs="Times New Roman"/>
          <w:sz w:val="24"/>
          <w:szCs w:val="24"/>
        </w:rPr>
        <w:t xml:space="preserve">Criterion validity is established though the correlation of established research instruments </w:t>
      </w:r>
      <w:r w:rsidRPr="00AD36D9">
        <w:rPr>
          <w:rFonts w:ascii="Times New Roman" w:hAnsi="Times New Roman" w:cs="Times New Roman"/>
          <w:sz w:val="24"/>
          <w:szCs w:val="24"/>
        </w:rPr>
        <w:lastRenderedPageBreak/>
        <w:t>with the newly developed instruments (Creswell &amp; Guetterman, 2019)</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The SOSESC-P total scale and subscales significantly correlated with the scores on the Self-Efficacy for Academic Milestones-Strength scale (Lent</w:t>
      </w:r>
      <w:r w:rsidR="007C5AD4" w:rsidRPr="00AD36D9">
        <w:rPr>
          <w:rFonts w:ascii="Times New Roman" w:hAnsi="Times New Roman" w:cs="Times New Roman"/>
          <w:sz w:val="24"/>
          <w:szCs w:val="24"/>
        </w:rPr>
        <w:t xml:space="preserve"> et al.</w:t>
      </w:r>
      <w:r w:rsidRPr="00AD36D9">
        <w:rPr>
          <w:rFonts w:ascii="Times New Roman" w:hAnsi="Times New Roman" w:cs="Times New Roman"/>
          <w:sz w:val="24"/>
          <w:szCs w:val="24"/>
        </w:rPr>
        <w:t>, 1986), a respected and validated global measure of self-efficacy in science (Fencl &amp; Scheel, 2005)</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To establish reliability, alpha coefficients of internal consistency </w:t>
      </w:r>
      <w:r w:rsidR="007F5722">
        <w:rPr>
          <w:rFonts w:ascii="Times New Roman" w:hAnsi="Times New Roman" w:cs="Times New Roman"/>
          <w:sz w:val="24"/>
          <w:szCs w:val="24"/>
        </w:rPr>
        <w:t>was</w:t>
      </w:r>
      <w:r w:rsidRPr="00AD36D9">
        <w:rPr>
          <w:rFonts w:ascii="Times New Roman" w:hAnsi="Times New Roman" w:cs="Times New Roman"/>
          <w:sz w:val="24"/>
          <w:szCs w:val="24"/>
        </w:rPr>
        <w:t xml:space="preserve"> calculated for SOSESC-P with strong results</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Fencl and Scheel </w:t>
      </w:r>
      <w:r w:rsidR="00D531A0">
        <w:rPr>
          <w:rFonts w:ascii="Times New Roman" w:hAnsi="Times New Roman" w:cs="Times New Roman"/>
          <w:sz w:val="24"/>
          <w:szCs w:val="24"/>
        </w:rPr>
        <w:t xml:space="preserve">found </w:t>
      </w:r>
      <w:r w:rsidRPr="00AD36D9">
        <w:rPr>
          <w:rFonts w:ascii="Times New Roman" w:hAnsi="Times New Roman" w:cs="Times New Roman"/>
          <w:sz w:val="24"/>
          <w:szCs w:val="24"/>
        </w:rPr>
        <w:t xml:space="preserve">internal consistency </w:t>
      </w:r>
      <w:r w:rsidR="00617BD0">
        <w:rPr>
          <w:rFonts w:ascii="Times New Roman" w:hAnsi="Times New Roman" w:cs="Times New Roman"/>
          <w:sz w:val="24"/>
          <w:szCs w:val="24"/>
        </w:rPr>
        <w:t>Cronbach</w:t>
      </w:r>
      <w:r w:rsidR="00D531A0">
        <w:rPr>
          <w:rFonts w:ascii="Times New Roman" w:hAnsi="Times New Roman" w:cs="Times New Roman"/>
          <w:sz w:val="24"/>
          <w:szCs w:val="24"/>
        </w:rPr>
        <w:t>’s</w:t>
      </w:r>
      <w:r w:rsidR="00123323">
        <w:rPr>
          <w:rFonts w:ascii="Times New Roman" w:hAnsi="Times New Roman" w:cs="Times New Roman"/>
          <w:sz w:val="24"/>
          <w:szCs w:val="24"/>
        </w:rPr>
        <w:t xml:space="preserve"> alpha </w:t>
      </w:r>
      <w:r w:rsidRPr="00AD36D9">
        <w:rPr>
          <w:rFonts w:ascii="Times New Roman" w:hAnsi="Times New Roman" w:cs="Times New Roman"/>
          <w:sz w:val="24"/>
          <w:szCs w:val="24"/>
        </w:rPr>
        <w:t>scores for each of the four subscales ranging from .68 to .88 while Dou</w:t>
      </w:r>
      <w:r w:rsidR="001D4E85" w:rsidRPr="00AD36D9">
        <w:rPr>
          <w:rFonts w:ascii="Times New Roman" w:hAnsi="Times New Roman" w:cs="Times New Roman"/>
          <w:sz w:val="24"/>
          <w:szCs w:val="24"/>
        </w:rPr>
        <w:t xml:space="preserve"> et al. </w:t>
      </w:r>
      <w:r w:rsidRPr="00AD36D9">
        <w:rPr>
          <w:rFonts w:ascii="Times New Roman" w:hAnsi="Times New Roman" w:cs="Times New Roman"/>
          <w:sz w:val="24"/>
          <w:szCs w:val="24"/>
        </w:rPr>
        <w:t xml:space="preserve">(2016) </w:t>
      </w:r>
      <w:r w:rsidR="00D531A0">
        <w:rPr>
          <w:rFonts w:ascii="Times New Roman" w:hAnsi="Times New Roman" w:cs="Times New Roman"/>
          <w:sz w:val="24"/>
          <w:szCs w:val="24"/>
        </w:rPr>
        <w:t>found</w:t>
      </w:r>
      <w:r w:rsidR="00D531A0"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an alpha coefficient of </w:t>
      </w:r>
      <w:r w:rsidR="00777D98" w:rsidRPr="00AD36D9">
        <w:rPr>
          <w:rFonts w:ascii="Times New Roman" w:hAnsi="Times New Roman" w:cs="Times New Roman"/>
          <w:sz w:val="24"/>
          <w:szCs w:val="24"/>
        </w:rPr>
        <w:t>0.94</w:t>
      </w:r>
      <w:r w:rsidR="00123323">
        <w:rPr>
          <w:rFonts w:ascii="Times New Roman" w:hAnsi="Times New Roman" w:cs="Times New Roman"/>
          <w:sz w:val="24"/>
          <w:szCs w:val="24"/>
        </w:rPr>
        <w:t xml:space="preserve">. These </w:t>
      </w:r>
      <w:r w:rsidR="00617BD0">
        <w:rPr>
          <w:rFonts w:ascii="Times New Roman" w:hAnsi="Times New Roman" w:cs="Times New Roman"/>
          <w:sz w:val="24"/>
          <w:szCs w:val="24"/>
        </w:rPr>
        <w:t>Cronbach</w:t>
      </w:r>
      <w:r w:rsidR="00D531A0">
        <w:rPr>
          <w:rFonts w:ascii="Times New Roman" w:hAnsi="Times New Roman" w:cs="Times New Roman"/>
          <w:sz w:val="24"/>
          <w:szCs w:val="24"/>
        </w:rPr>
        <w:t>’s</w:t>
      </w:r>
      <w:r w:rsidR="00123323">
        <w:rPr>
          <w:rFonts w:ascii="Times New Roman" w:hAnsi="Times New Roman" w:cs="Times New Roman"/>
          <w:sz w:val="24"/>
          <w:szCs w:val="24"/>
        </w:rPr>
        <w:t xml:space="preserve"> alpha scores can range from 0 to 1 with higher values indicating greater internal consistency and therefore reliability. </w:t>
      </w:r>
    </w:p>
    <w:p w14:paraId="61EC88AC" w14:textId="77777777" w:rsidR="00FB41AA" w:rsidRPr="00AD36D9" w:rsidRDefault="00FB41AA" w:rsidP="00BA4A2D">
      <w:pPr>
        <w:pStyle w:val="Heading2"/>
      </w:pPr>
      <w:bookmarkStart w:id="40" w:name="_Toc117501924"/>
      <w:r w:rsidRPr="00AD36D9">
        <w:t>Data Collection Procedures</w:t>
      </w:r>
      <w:bookmarkEnd w:id="40"/>
    </w:p>
    <w:p w14:paraId="3BCE2A6D" w14:textId="42732947" w:rsidR="00380DE4" w:rsidRDefault="00FB41AA" w:rsidP="000943B8">
      <w:pPr>
        <w:widowControl w:val="0"/>
        <w:suppressAutoHyphens/>
        <w:spacing w:after="0" w:line="480" w:lineRule="auto"/>
        <w:ind w:firstLine="720"/>
        <w:rPr>
          <w:rFonts w:ascii="Times New Roman" w:hAnsi="Times New Roman" w:cs="Times New Roman"/>
          <w:sz w:val="24"/>
          <w:szCs w:val="24"/>
        </w:rPr>
      </w:pPr>
      <w:r w:rsidRPr="00AD36D9">
        <w:rPr>
          <w:rFonts w:ascii="Times New Roman" w:hAnsi="Times New Roman" w:cs="Times New Roman"/>
          <w:sz w:val="24"/>
          <w:szCs w:val="24"/>
        </w:rPr>
        <w:t>All non-senior year physics students</w:t>
      </w:r>
      <w:r w:rsidR="009424E5" w:rsidRPr="00AD36D9">
        <w:rPr>
          <w:rFonts w:ascii="Times New Roman" w:hAnsi="Times New Roman" w:cs="Times New Roman"/>
          <w:sz w:val="24"/>
          <w:szCs w:val="24"/>
        </w:rPr>
        <w:t xml:space="preserve"> enrolled in the </w:t>
      </w:r>
      <w:r w:rsidR="008159B8">
        <w:rPr>
          <w:rFonts w:ascii="Times New Roman" w:hAnsi="Times New Roman" w:cs="Times New Roman"/>
          <w:sz w:val="24"/>
          <w:szCs w:val="24"/>
        </w:rPr>
        <w:t>first-year physics</w:t>
      </w:r>
      <w:r w:rsidR="009424E5" w:rsidRPr="00AD36D9">
        <w:rPr>
          <w:rFonts w:ascii="Times New Roman" w:hAnsi="Times New Roman" w:cs="Times New Roman"/>
          <w:sz w:val="24"/>
          <w:szCs w:val="24"/>
        </w:rPr>
        <w:t xml:space="preserve"> course </w:t>
      </w:r>
      <w:r w:rsidR="005516B0">
        <w:rPr>
          <w:rFonts w:ascii="Times New Roman" w:hAnsi="Times New Roman" w:cs="Times New Roman"/>
          <w:sz w:val="24"/>
          <w:szCs w:val="24"/>
        </w:rPr>
        <w:t>were</w:t>
      </w:r>
      <w:r w:rsidR="005516B0" w:rsidRPr="00AD36D9">
        <w:rPr>
          <w:rFonts w:ascii="Times New Roman" w:hAnsi="Times New Roman" w:cs="Times New Roman"/>
          <w:sz w:val="24"/>
          <w:szCs w:val="24"/>
        </w:rPr>
        <w:t xml:space="preserve"> </w:t>
      </w:r>
      <w:r w:rsidRPr="00AD36D9">
        <w:rPr>
          <w:rFonts w:ascii="Times New Roman" w:hAnsi="Times New Roman" w:cs="Times New Roman"/>
          <w:sz w:val="24"/>
          <w:szCs w:val="24"/>
        </w:rPr>
        <w:t>eligible for the study</w:t>
      </w:r>
      <w:r w:rsidR="00B50562">
        <w:rPr>
          <w:rFonts w:ascii="Times New Roman" w:hAnsi="Times New Roman" w:cs="Times New Roman"/>
          <w:sz w:val="24"/>
          <w:szCs w:val="24"/>
        </w:rPr>
        <w:t xml:space="preserve"> and</w:t>
      </w:r>
      <w:r w:rsidRPr="00AD36D9">
        <w:rPr>
          <w:rFonts w:ascii="Times New Roman" w:hAnsi="Times New Roman" w:cs="Times New Roman"/>
          <w:sz w:val="24"/>
          <w:szCs w:val="24"/>
        </w:rPr>
        <w:t xml:space="preserve"> </w:t>
      </w:r>
      <w:r w:rsidR="00304165">
        <w:rPr>
          <w:rFonts w:ascii="Times New Roman" w:hAnsi="Times New Roman" w:cs="Times New Roman"/>
          <w:sz w:val="24"/>
          <w:szCs w:val="24"/>
        </w:rPr>
        <w:t>were offered</w:t>
      </w:r>
      <w:r w:rsidR="003D3169" w:rsidRPr="00AD36D9">
        <w:rPr>
          <w:rFonts w:ascii="Times New Roman" w:hAnsi="Times New Roman" w:cs="Times New Roman"/>
          <w:sz w:val="24"/>
          <w:szCs w:val="24"/>
        </w:rPr>
        <w:t xml:space="preserve"> </w:t>
      </w:r>
      <w:r w:rsidR="00304165">
        <w:rPr>
          <w:rFonts w:ascii="Times New Roman" w:hAnsi="Times New Roman" w:cs="Times New Roman"/>
          <w:sz w:val="24"/>
          <w:szCs w:val="24"/>
        </w:rPr>
        <w:t>both</w:t>
      </w:r>
      <w:r w:rsidRPr="00AD36D9">
        <w:rPr>
          <w:rFonts w:ascii="Times New Roman" w:hAnsi="Times New Roman" w:cs="Times New Roman"/>
          <w:sz w:val="24"/>
          <w:szCs w:val="24"/>
        </w:rPr>
        <w:t xml:space="preserve"> </w:t>
      </w:r>
      <w:r w:rsidR="00304165">
        <w:rPr>
          <w:rFonts w:ascii="Times New Roman" w:hAnsi="Times New Roman" w:cs="Times New Roman"/>
          <w:sz w:val="24"/>
          <w:szCs w:val="24"/>
        </w:rPr>
        <w:t>a letter of a</w:t>
      </w:r>
      <w:r w:rsidR="003D3169" w:rsidRPr="00AD36D9">
        <w:rPr>
          <w:rFonts w:ascii="Times New Roman" w:hAnsi="Times New Roman" w:cs="Times New Roman"/>
          <w:sz w:val="24"/>
          <w:szCs w:val="24"/>
        </w:rPr>
        <w:t xml:space="preserve">ssent </w:t>
      </w:r>
      <w:r w:rsidR="00304165">
        <w:rPr>
          <w:rFonts w:ascii="Times New Roman" w:hAnsi="Times New Roman" w:cs="Times New Roman"/>
          <w:sz w:val="24"/>
          <w:szCs w:val="24"/>
        </w:rPr>
        <w:t xml:space="preserve">and a letter of consent for their parents </w:t>
      </w:r>
      <w:r w:rsidR="003D3169" w:rsidRPr="00AD36D9">
        <w:rPr>
          <w:rFonts w:ascii="Times New Roman" w:hAnsi="Times New Roman" w:cs="Times New Roman"/>
          <w:sz w:val="24"/>
          <w:szCs w:val="24"/>
        </w:rPr>
        <w:t xml:space="preserve">(Appendix D). </w:t>
      </w:r>
      <w:r w:rsidR="00304165">
        <w:rPr>
          <w:rFonts w:ascii="Times New Roman" w:hAnsi="Times New Roman" w:cs="Times New Roman"/>
          <w:sz w:val="24"/>
          <w:szCs w:val="24"/>
        </w:rPr>
        <w:t xml:space="preserve">The researcher visited all physics classrooms repeatedly to personally collect the letters of assent and consent. Only students who turned in both letters of assent and consent were </w:t>
      </w:r>
      <w:r w:rsidRPr="00AD36D9">
        <w:rPr>
          <w:rFonts w:ascii="Times New Roman" w:hAnsi="Times New Roman" w:cs="Times New Roman"/>
          <w:sz w:val="24"/>
          <w:szCs w:val="24"/>
        </w:rPr>
        <w:t xml:space="preserve">included in the study. Students enrolled in physics at the </w:t>
      </w:r>
      <w:r w:rsidR="00B50562">
        <w:rPr>
          <w:rFonts w:ascii="Times New Roman" w:hAnsi="Times New Roman" w:cs="Times New Roman"/>
          <w:sz w:val="24"/>
          <w:szCs w:val="24"/>
        </w:rPr>
        <w:t>location</w:t>
      </w:r>
      <w:r w:rsidR="00B50562"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of the study </w:t>
      </w:r>
      <w:r w:rsidR="005516B0">
        <w:rPr>
          <w:rFonts w:ascii="Times New Roman" w:hAnsi="Times New Roman" w:cs="Times New Roman"/>
          <w:sz w:val="24"/>
          <w:szCs w:val="24"/>
        </w:rPr>
        <w:t>were</w:t>
      </w:r>
      <w:r w:rsidR="005516B0"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required to take the </w:t>
      </w:r>
      <w:r w:rsidR="00D2528D">
        <w:rPr>
          <w:rFonts w:ascii="Times New Roman" w:hAnsi="Times New Roman" w:cs="Times New Roman"/>
          <w:sz w:val="24"/>
          <w:szCs w:val="24"/>
        </w:rPr>
        <w:t>FCI</w:t>
      </w:r>
      <w:r w:rsidRPr="00AD36D9">
        <w:rPr>
          <w:rFonts w:ascii="Times New Roman" w:hAnsi="Times New Roman" w:cs="Times New Roman"/>
          <w:sz w:val="24"/>
          <w:szCs w:val="24"/>
        </w:rPr>
        <w:t xml:space="preserve"> each year in pre and post formats</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The pre-test </w:t>
      </w:r>
      <w:r w:rsidR="005516B0">
        <w:rPr>
          <w:rFonts w:ascii="Times New Roman" w:hAnsi="Times New Roman" w:cs="Times New Roman"/>
          <w:sz w:val="24"/>
          <w:szCs w:val="24"/>
        </w:rPr>
        <w:t>was</w:t>
      </w:r>
      <w:r w:rsidR="005516B0"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given the first week of physics instruction and the post test </w:t>
      </w:r>
      <w:r w:rsidR="005516B0">
        <w:rPr>
          <w:rFonts w:ascii="Times New Roman" w:hAnsi="Times New Roman" w:cs="Times New Roman"/>
          <w:sz w:val="24"/>
          <w:szCs w:val="24"/>
        </w:rPr>
        <w:t>was</w:t>
      </w:r>
      <w:r w:rsidR="005516B0" w:rsidRPr="00AD36D9">
        <w:rPr>
          <w:rFonts w:ascii="Times New Roman" w:hAnsi="Times New Roman" w:cs="Times New Roman"/>
          <w:sz w:val="24"/>
          <w:szCs w:val="24"/>
        </w:rPr>
        <w:t xml:space="preserve"> </w:t>
      </w:r>
      <w:r w:rsidRPr="00AD36D9">
        <w:rPr>
          <w:rFonts w:ascii="Times New Roman" w:hAnsi="Times New Roman" w:cs="Times New Roman"/>
          <w:sz w:val="24"/>
          <w:szCs w:val="24"/>
        </w:rPr>
        <w:t>administered in the spring</w:t>
      </w:r>
      <w:r w:rsidR="00736F31" w:rsidRPr="00AD36D9">
        <w:rPr>
          <w:rFonts w:ascii="Times New Roman" w:hAnsi="Times New Roman" w:cs="Times New Roman"/>
          <w:sz w:val="24"/>
          <w:szCs w:val="24"/>
        </w:rPr>
        <w:t xml:space="preserve">. </w:t>
      </w:r>
      <w:r w:rsidR="00D2528D">
        <w:rPr>
          <w:rFonts w:ascii="Times New Roman" w:hAnsi="Times New Roman" w:cs="Times New Roman"/>
          <w:sz w:val="24"/>
          <w:szCs w:val="24"/>
        </w:rPr>
        <w:t>The l</w:t>
      </w:r>
      <w:r w:rsidRPr="00AD36D9">
        <w:rPr>
          <w:rFonts w:ascii="Times New Roman" w:hAnsi="Times New Roman" w:cs="Times New Roman"/>
          <w:sz w:val="24"/>
          <w:szCs w:val="24"/>
        </w:rPr>
        <w:t xml:space="preserve">evels of physics understanding </w:t>
      </w:r>
      <w:r w:rsidR="00304165">
        <w:rPr>
          <w:rFonts w:ascii="Times New Roman" w:hAnsi="Times New Roman" w:cs="Times New Roman"/>
          <w:sz w:val="24"/>
          <w:szCs w:val="24"/>
        </w:rPr>
        <w:t>were</w:t>
      </w:r>
      <w:r w:rsidRPr="00AD36D9">
        <w:rPr>
          <w:rFonts w:ascii="Times New Roman" w:hAnsi="Times New Roman" w:cs="Times New Roman"/>
          <w:sz w:val="24"/>
          <w:szCs w:val="24"/>
        </w:rPr>
        <w:t xml:space="preserve"> obtained from these </w:t>
      </w:r>
      <w:r w:rsidR="00304165">
        <w:rPr>
          <w:rFonts w:ascii="Times New Roman" w:hAnsi="Times New Roman" w:cs="Times New Roman"/>
          <w:sz w:val="24"/>
          <w:szCs w:val="24"/>
        </w:rPr>
        <w:t xml:space="preserve">district </w:t>
      </w:r>
      <w:r w:rsidRPr="00AD36D9">
        <w:rPr>
          <w:rFonts w:ascii="Times New Roman" w:hAnsi="Times New Roman" w:cs="Times New Roman"/>
          <w:sz w:val="24"/>
          <w:szCs w:val="24"/>
        </w:rPr>
        <w:t>tests</w:t>
      </w:r>
      <w:r w:rsidR="00736F31" w:rsidRPr="00AD36D9">
        <w:rPr>
          <w:rFonts w:ascii="Times New Roman" w:hAnsi="Times New Roman" w:cs="Times New Roman"/>
          <w:sz w:val="24"/>
          <w:szCs w:val="24"/>
        </w:rPr>
        <w:t>.</w:t>
      </w:r>
      <w:r w:rsidRPr="00AD36D9">
        <w:rPr>
          <w:rFonts w:ascii="Times New Roman" w:hAnsi="Times New Roman" w:cs="Times New Roman"/>
          <w:sz w:val="24"/>
          <w:szCs w:val="24"/>
        </w:rPr>
        <w:t xml:space="preserve"> </w:t>
      </w:r>
      <w:r w:rsidR="009D5A9B">
        <w:rPr>
          <w:rFonts w:ascii="Times New Roman" w:hAnsi="Times New Roman" w:cs="Times New Roman"/>
          <w:sz w:val="24"/>
          <w:szCs w:val="24"/>
        </w:rPr>
        <w:t xml:space="preserve">The tests </w:t>
      </w:r>
      <w:r w:rsidR="005516B0">
        <w:rPr>
          <w:rFonts w:ascii="Times New Roman" w:hAnsi="Times New Roman" w:cs="Times New Roman"/>
          <w:sz w:val="24"/>
          <w:szCs w:val="24"/>
        </w:rPr>
        <w:t>were</w:t>
      </w:r>
      <w:r w:rsidR="0014055B">
        <w:rPr>
          <w:rFonts w:ascii="Times New Roman" w:hAnsi="Times New Roman" w:cs="Times New Roman"/>
          <w:sz w:val="24"/>
          <w:szCs w:val="24"/>
        </w:rPr>
        <w:t xml:space="preserve"> </w:t>
      </w:r>
      <w:r w:rsidR="009D5A9B">
        <w:rPr>
          <w:rFonts w:ascii="Times New Roman" w:hAnsi="Times New Roman" w:cs="Times New Roman"/>
          <w:sz w:val="24"/>
          <w:szCs w:val="24"/>
        </w:rPr>
        <w:t xml:space="preserve">scored electronically using the Mastery Manage web interface. </w:t>
      </w:r>
      <w:r w:rsidRPr="00AD36D9">
        <w:rPr>
          <w:rFonts w:ascii="Times New Roman" w:hAnsi="Times New Roman" w:cs="Times New Roman"/>
          <w:sz w:val="24"/>
          <w:szCs w:val="24"/>
        </w:rPr>
        <w:t>Student</w:t>
      </w:r>
      <w:r w:rsidR="00D2528D">
        <w:rPr>
          <w:rFonts w:ascii="Times New Roman" w:hAnsi="Times New Roman" w:cs="Times New Roman"/>
          <w:sz w:val="24"/>
          <w:szCs w:val="24"/>
        </w:rPr>
        <w:t>s’</w:t>
      </w:r>
      <w:r w:rsidRPr="00AD36D9">
        <w:rPr>
          <w:rFonts w:ascii="Times New Roman" w:hAnsi="Times New Roman" w:cs="Times New Roman"/>
          <w:sz w:val="24"/>
          <w:szCs w:val="24"/>
        </w:rPr>
        <w:t xml:space="preserve"> demographic data </w:t>
      </w:r>
      <w:r w:rsidRPr="00B96861">
        <w:rPr>
          <w:rFonts w:ascii="Times New Roman" w:hAnsi="Times New Roman" w:cs="Times New Roman"/>
          <w:sz w:val="24"/>
          <w:szCs w:val="24"/>
        </w:rPr>
        <w:t>and</w:t>
      </w:r>
      <w:r w:rsidR="00B96861">
        <w:rPr>
          <w:rFonts w:ascii="Times New Roman" w:hAnsi="Times New Roman" w:cs="Times New Roman"/>
          <w:sz w:val="24"/>
          <w:szCs w:val="24"/>
        </w:rPr>
        <w:t xml:space="preserve"> </w:t>
      </w:r>
      <w:r w:rsidRPr="00B96861">
        <w:rPr>
          <w:rFonts w:ascii="Times New Roman" w:hAnsi="Times New Roman" w:cs="Times New Roman"/>
          <w:sz w:val="24"/>
          <w:szCs w:val="24"/>
        </w:rPr>
        <w:t>enrollment</w:t>
      </w:r>
      <w:r w:rsidR="00F6571F" w:rsidRPr="00AD36D9">
        <w:rPr>
          <w:rFonts w:ascii="Times New Roman" w:hAnsi="Times New Roman" w:cs="Times New Roman"/>
          <w:sz w:val="24"/>
          <w:szCs w:val="24"/>
        </w:rPr>
        <w:t xml:space="preserve"> </w:t>
      </w:r>
      <w:r w:rsidR="009424E5" w:rsidRPr="00AD36D9">
        <w:rPr>
          <w:rFonts w:ascii="Times New Roman" w:hAnsi="Times New Roman" w:cs="Times New Roman"/>
          <w:sz w:val="24"/>
          <w:szCs w:val="24"/>
        </w:rPr>
        <w:t xml:space="preserve">decision </w:t>
      </w:r>
      <w:r w:rsidRPr="00AD36D9">
        <w:rPr>
          <w:rFonts w:ascii="Times New Roman" w:hAnsi="Times New Roman" w:cs="Times New Roman"/>
          <w:sz w:val="24"/>
          <w:szCs w:val="24"/>
        </w:rPr>
        <w:t xml:space="preserve">data </w:t>
      </w:r>
      <w:r w:rsidR="00304165">
        <w:rPr>
          <w:rFonts w:ascii="Times New Roman" w:hAnsi="Times New Roman" w:cs="Times New Roman"/>
          <w:sz w:val="24"/>
          <w:szCs w:val="24"/>
        </w:rPr>
        <w:t>were</w:t>
      </w:r>
      <w:r w:rsidRPr="00AD36D9">
        <w:rPr>
          <w:rFonts w:ascii="Times New Roman" w:hAnsi="Times New Roman" w:cs="Times New Roman"/>
          <w:sz w:val="24"/>
          <w:szCs w:val="24"/>
        </w:rPr>
        <w:t xml:space="preserve"> gathered after students had a chance to select their science courses for the next school year</w:t>
      </w:r>
      <w:r w:rsidR="00736F31" w:rsidRPr="00AD36D9">
        <w:rPr>
          <w:rFonts w:ascii="Times New Roman" w:hAnsi="Times New Roman" w:cs="Times New Roman"/>
          <w:sz w:val="24"/>
          <w:szCs w:val="24"/>
        </w:rPr>
        <w:t xml:space="preserve">. </w:t>
      </w:r>
      <w:r w:rsidR="009D5A9B">
        <w:rPr>
          <w:rFonts w:ascii="Times New Roman" w:hAnsi="Times New Roman" w:cs="Times New Roman"/>
          <w:sz w:val="24"/>
          <w:szCs w:val="24"/>
        </w:rPr>
        <w:t>Student</w:t>
      </w:r>
      <w:r w:rsidR="00D2528D">
        <w:rPr>
          <w:rFonts w:ascii="Times New Roman" w:hAnsi="Times New Roman" w:cs="Times New Roman"/>
          <w:sz w:val="24"/>
          <w:szCs w:val="24"/>
        </w:rPr>
        <w:t>s’</w:t>
      </w:r>
      <w:r w:rsidR="009D5A9B">
        <w:rPr>
          <w:rFonts w:ascii="Times New Roman" w:hAnsi="Times New Roman" w:cs="Times New Roman"/>
          <w:sz w:val="24"/>
          <w:szCs w:val="24"/>
        </w:rPr>
        <w:t xml:space="preserve"> responses </w:t>
      </w:r>
      <w:r w:rsidR="00304165">
        <w:rPr>
          <w:rFonts w:ascii="Times New Roman" w:hAnsi="Times New Roman" w:cs="Times New Roman"/>
          <w:sz w:val="24"/>
          <w:szCs w:val="24"/>
        </w:rPr>
        <w:t>were</w:t>
      </w:r>
      <w:r w:rsidR="009D5A9B">
        <w:rPr>
          <w:rFonts w:ascii="Times New Roman" w:hAnsi="Times New Roman" w:cs="Times New Roman"/>
          <w:sz w:val="24"/>
          <w:szCs w:val="24"/>
        </w:rPr>
        <w:t xml:space="preserve"> </w:t>
      </w:r>
      <w:r w:rsidR="00304165">
        <w:rPr>
          <w:rFonts w:ascii="Times New Roman" w:hAnsi="Times New Roman" w:cs="Times New Roman"/>
          <w:sz w:val="24"/>
          <w:szCs w:val="24"/>
        </w:rPr>
        <w:t>collected and then scanned if all permission documentation was turned into the researcher</w:t>
      </w:r>
      <w:r w:rsidR="001E3D34">
        <w:rPr>
          <w:rFonts w:ascii="Times New Roman" w:hAnsi="Times New Roman" w:cs="Times New Roman"/>
          <w:sz w:val="24"/>
          <w:szCs w:val="24"/>
        </w:rPr>
        <w:t xml:space="preserve"> using the Mastery Manager interface</w:t>
      </w:r>
      <w:r w:rsidR="00304165">
        <w:rPr>
          <w:rFonts w:ascii="Times New Roman" w:hAnsi="Times New Roman" w:cs="Times New Roman"/>
          <w:sz w:val="24"/>
          <w:szCs w:val="24"/>
        </w:rPr>
        <w:t>. Student</w:t>
      </w:r>
      <w:r w:rsidR="00D2528D">
        <w:rPr>
          <w:rFonts w:ascii="Times New Roman" w:hAnsi="Times New Roman" w:cs="Times New Roman"/>
          <w:sz w:val="24"/>
          <w:szCs w:val="24"/>
        </w:rPr>
        <w:t>s’</w:t>
      </w:r>
      <w:r w:rsidR="00304165">
        <w:rPr>
          <w:rFonts w:ascii="Times New Roman" w:hAnsi="Times New Roman" w:cs="Times New Roman"/>
          <w:sz w:val="24"/>
          <w:szCs w:val="24"/>
        </w:rPr>
        <w:t xml:space="preserve"> enrollment decisions as well as their semester one grades were provided to the researcher for </w:t>
      </w:r>
      <w:r w:rsidR="001E3D34">
        <w:rPr>
          <w:rFonts w:ascii="Times New Roman" w:hAnsi="Times New Roman" w:cs="Times New Roman"/>
          <w:sz w:val="24"/>
          <w:szCs w:val="24"/>
        </w:rPr>
        <w:t xml:space="preserve">by the school district in a Microsoft Excel data table listed by student ID number only. </w:t>
      </w:r>
    </w:p>
    <w:p w14:paraId="49A00400" w14:textId="10B2DBAD" w:rsidR="00380DE4" w:rsidRDefault="006466A1" w:rsidP="000943B8">
      <w:pPr>
        <w:widowControl w:val="0"/>
        <w:suppressAutoHyphen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w:t>
      </w:r>
      <w:r w:rsidR="00FB41AA" w:rsidRPr="00AD36D9">
        <w:rPr>
          <w:rFonts w:ascii="Times New Roman" w:hAnsi="Times New Roman" w:cs="Times New Roman"/>
          <w:sz w:val="24"/>
          <w:szCs w:val="24"/>
        </w:rPr>
        <w:t xml:space="preserve"> enrollment process </w:t>
      </w:r>
      <w:r>
        <w:rPr>
          <w:rFonts w:ascii="Times New Roman" w:hAnsi="Times New Roman" w:cs="Times New Roman"/>
          <w:sz w:val="24"/>
          <w:szCs w:val="24"/>
        </w:rPr>
        <w:t>took</w:t>
      </w:r>
      <w:r w:rsidR="00FB41AA" w:rsidRPr="00AD36D9">
        <w:rPr>
          <w:rFonts w:ascii="Times New Roman" w:hAnsi="Times New Roman" w:cs="Times New Roman"/>
          <w:sz w:val="24"/>
          <w:szCs w:val="24"/>
        </w:rPr>
        <w:t xml:space="preserve"> place the </w:t>
      </w:r>
      <w:r>
        <w:rPr>
          <w:rFonts w:ascii="Times New Roman" w:hAnsi="Times New Roman" w:cs="Times New Roman"/>
          <w:sz w:val="24"/>
          <w:szCs w:val="24"/>
        </w:rPr>
        <w:t xml:space="preserve">first and </w:t>
      </w:r>
      <w:r w:rsidR="002F6FD2" w:rsidRPr="00AD36D9">
        <w:rPr>
          <w:rFonts w:ascii="Times New Roman" w:hAnsi="Times New Roman" w:cs="Times New Roman"/>
          <w:sz w:val="24"/>
          <w:szCs w:val="24"/>
        </w:rPr>
        <w:t xml:space="preserve">second </w:t>
      </w:r>
      <w:r w:rsidR="00FB41AA" w:rsidRPr="00AD36D9">
        <w:rPr>
          <w:rFonts w:ascii="Times New Roman" w:hAnsi="Times New Roman" w:cs="Times New Roman"/>
          <w:sz w:val="24"/>
          <w:szCs w:val="24"/>
        </w:rPr>
        <w:t>week of January</w:t>
      </w:r>
      <w:r w:rsidR="00BC22AB">
        <w:rPr>
          <w:rFonts w:ascii="Times New Roman" w:hAnsi="Times New Roman" w:cs="Times New Roman"/>
          <w:sz w:val="24"/>
          <w:szCs w:val="24"/>
        </w:rPr>
        <w:t xml:space="preserve"> 2022</w:t>
      </w:r>
      <w:r w:rsidR="00736F31" w:rsidRPr="00AD36D9">
        <w:rPr>
          <w:rFonts w:ascii="Times New Roman" w:hAnsi="Times New Roman" w:cs="Times New Roman"/>
          <w:sz w:val="24"/>
          <w:szCs w:val="24"/>
        </w:rPr>
        <w:t>.</w:t>
      </w:r>
      <w:r w:rsidR="002F6FD2" w:rsidRPr="00AD36D9">
        <w:rPr>
          <w:rFonts w:ascii="Times New Roman" w:hAnsi="Times New Roman" w:cs="Times New Roman"/>
          <w:sz w:val="24"/>
          <w:szCs w:val="24"/>
        </w:rPr>
        <w:t xml:space="preserve"> The FCI </w:t>
      </w:r>
      <w:r>
        <w:rPr>
          <w:rFonts w:ascii="Times New Roman" w:hAnsi="Times New Roman" w:cs="Times New Roman"/>
          <w:sz w:val="24"/>
          <w:szCs w:val="24"/>
        </w:rPr>
        <w:t>was</w:t>
      </w:r>
      <w:r w:rsidR="002F6FD2" w:rsidRPr="00AD36D9">
        <w:rPr>
          <w:rFonts w:ascii="Times New Roman" w:hAnsi="Times New Roman" w:cs="Times New Roman"/>
          <w:sz w:val="24"/>
          <w:szCs w:val="24"/>
        </w:rPr>
        <w:t xml:space="preserve"> administered </w:t>
      </w:r>
      <w:r w:rsidR="005F3F29">
        <w:rPr>
          <w:rFonts w:ascii="Times New Roman" w:hAnsi="Times New Roman" w:cs="Times New Roman"/>
          <w:sz w:val="24"/>
          <w:szCs w:val="24"/>
        </w:rPr>
        <w:t xml:space="preserve">both </w:t>
      </w:r>
      <w:r w:rsidR="007B2377">
        <w:rPr>
          <w:rFonts w:ascii="Times New Roman" w:hAnsi="Times New Roman" w:cs="Times New Roman"/>
          <w:sz w:val="24"/>
          <w:szCs w:val="24"/>
        </w:rPr>
        <w:t xml:space="preserve">the third week of August </w:t>
      </w:r>
      <w:r w:rsidR="005F3F29">
        <w:rPr>
          <w:rFonts w:ascii="Times New Roman" w:hAnsi="Times New Roman" w:cs="Times New Roman"/>
          <w:sz w:val="24"/>
          <w:szCs w:val="24"/>
        </w:rPr>
        <w:t xml:space="preserve">and </w:t>
      </w:r>
      <w:r w:rsidR="002F6FD2" w:rsidRPr="00AD36D9">
        <w:rPr>
          <w:rFonts w:ascii="Times New Roman" w:hAnsi="Times New Roman" w:cs="Times New Roman"/>
          <w:sz w:val="24"/>
          <w:szCs w:val="24"/>
        </w:rPr>
        <w:t xml:space="preserve">the </w:t>
      </w:r>
      <w:r w:rsidR="00BC22AB">
        <w:rPr>
          <w:rFonts w:ascii="Times New Roman" w:hAnsi="Times New Roman" w:cs="Times New Roman"/>
          <w:sz w:val="24"/>
          <w:szCs w:val="24"/>
        </w:rPr>
        <w:t xml:space="preserve">second </w:t>
      </w:r>
      <w:r w:rsidR="002F6FD2" w:rsidRPr="00AD36D9">
        <w:rPr>
          <w:rFonts w:ascii="Times New Roman" w:hAnsi="Times New Roman" w:cs="Times New Roman"/>
          <w:sz w:val="24"/>
          <w:szCs w:val="24"/>
        </w:rPr>
        <w:t>week of January</w:t>
      </w:r>
      <w:r w:rsidR="009D5A9B">
        <w:rPr>
          <w:rFonts w:ascii="Times New Roman" w:hAnsi="Times New Roman" w:cs="Times New Roman"/>
          <w:sz w:val="24"/>
          <w:szCs w:val="24"/>
        </w:rPr>
        <w:t xml:space="preserve"> to all students in physics</w:t>
      </w:r>
      <w:r w:rsidR="007B2377">
        <w:rPr>
          <w:rFonts w:ascii="Times New Roman" w:hAnsi="Times New Roman" w:cs="Times New Roman"/>
          <w:sz w:val="24"/>
          <w:szCs w:val="24"/>
        </w:rPr>
        <w:t xml:space="preserve"> in a pre and post-test format</w:t>
      </w:r>
      <w:r w:rsidR="002F6FD2" w:rsidRPr="00AD36D9">
        <w:rPr>
          <w:rFonts w:ascii="Times New Roman" w:hAnsi="Times New Roman" w:cs="Times New Roman"/>
          <w:sz w:val="24"/>
          <w:szCs w:val="24"/>
        </w:rPr>
        <w:t>.</w:t>
      </w:r>
      <w:r w:rsidR="009D5A9B">
        <w:rPr>
          <w:rFonts w:ascii="Times New Roman" w:hAnsi="Times New Roman" w:cs="Times New Roman"/>
          <w:sz w:val="24"/>
          <w:szCs w:val="24"/>
        </w:rPr>
        <w:t xml:space="preserve"> Classroom teachers </w:t>
      </w:r>
      <w:r>
        <w:rPr>
          <w:rFonts w:ascii="Times New Roman" w:hAnsi="Times New Roman" w:cs="Times New Roman"/>
          <w:sz w:val="24"/>
          <w:szCs w:val="24"/>
        </w:rPr>
        <w:t>gave</w:t>
      </w:r>
      <w:r w:rsidR="009D5A9B">
        <w:rPr>
          <w:rFonts w:ascii="Times New Roman" w:hAnsi="Times New Roman" w:cs="Times New Roman"/>
          <w:sz w:val="24"/>
          <w:szCs w:val="24"/>
        </w:rPr>
        <w:t xml:space="preserve"> students 30 minutes to complete the </w:t>
      </w:r>
      <w:r>
        <w:rPr>
          <w:rFonts w:ascii="Times New Roman" w:hAnsi="Times New Roman" w:cs="Times New Roman"/>
          <w:sz w:val="24"/>
          <w:szCs w:val="24"/>
        </w:rPr>
        <w:t xml:space="preserve">FCI </w:t>
      </w:r>
      <w:r w:rsidR="009D5A9B">
        <w:rPr>
          <w:rFonts w:ascii="Times New Roman" w:hAnsi="Times New Roman" w:cs="Times New Roman"/>
          <w:sz w:val="24"/>
          <w:szCs w:val="24"/>
        </w:rPr>
        <w:t xml:space="preserve">assessment and </w:t>
      </w:r>
      <w:r w:rsidR="00617BD0">
        <w:rPr>
          <w:rFonts w:ascii="Times New Roman" w:hAnsi="Times New Roman" w:cs="Times New Roman"/>
          <w:sz w:val="24"/>
          <w:szCs w:val="24"/>
        </w:rPr>
        <w:t>scanned</w:t>
      </w:r>
      <w:r w:rsidR="009D5A9B">
        <w:rPr>
          <w:rFonts w:ascii="Times New Roman" w:hAnsi="Times New Roman" w:cs="Times New Roman"/>
          <w:sz w:val="24"/>
          <w:szCs w:val="24"/>
        </w:rPr>
        <w:t xml:space="preserve"> the answer documents. </w:t>
      </w:r>
      <w:r w:rsidR="00FB41AA" w:rsidRPr="00AD36D9">
        <w:rPr>
          <w:rFonts w:ascii="Times New Roman" w:hAnsi="Times New Roman" w:cs="Times New Roman"/>
          <w:sz w:val="24"/>
          <w:szCs w:val="24"/>
        </w:rPr>
        <w:t xml:space="preserve">The demographics survey </w:t>
      </w:r>
      <w:r w:rsidR="002F6FD2" w:rsidRPr="00AD36D9">
        <w:rPr>
          <w:rFonts w:ascii="Times New Roman" w:hAnsi="Times New Roman" w:cs="Times New Roman"/>
          <w:sz w:val="24"/>
          <w:szCs w:val="24"/>
        </w:rPr>
        <w:t xml:space="preserve">and SOSESC-P </w:t>
      </w:r>
      <w:r>
        <w:rPr>
          <w:rFonts w:ascii="Times New Roman" w:hAnsi="Times New Roman" w:cs="Times New Roman"/>
          <w:sz w:val="24"/>
          <w:szCs w:val="24"/>
        </w:rPr>
        <w:t>were</w:t>
      </w:r>
      <w:r w:rsidR="00FB41AA" w:rsidRPr="00AD36D9">
        <w:rPr>
          <w:rFonts w:ascii="Times New Roman" w:hAnsi="Times New Roman" w:cs="Times New Roman"/>
          <w:sz w:val="24"/>
          <w:szCs w:val="24"/>
        </w:rPr>
        <w:t xml:space="preserve"> </w:t>
      </w:r>
      <w:r w:rsidR="00462080">
        <w:rPr>
          <w:rFonts w:ascii="Times New Roman" w:hAnsi="Times New Roman" w:cs="Times New Roman"/>
          <w:sz w:val="24"/>
          <w:szCs w:val="24"/>
        </w:rPr>
        <w:t>later</w:t>
      </w:r>
      <w:r w:rsidR="00FB41AA" w:rsidRPr="00AD36D9">
        <w:rPr>
          <w:rFonts w:ascii="Times New Roman" w:hAnsi="Times New Roman" w:cs="Times New Roman"/>
          <w:sz w:val="24"/>
          <w:szCs w:val="24"/>
        </w:rPr>
        <w:t xml:space="preserve"> administered </w:t>
      </w:r>
      <w:r w:rsidR="00462080">
        <w:rPr>
          <w:rFonts w:ascii="Times New Roman" w:hAnsi="Times New Roman" w:cs="Times New Roman"/>
          <w:sz w:val="24"/>
          <w:szCs w:val="24"/>
        </w:rPr>
        <w:t>after students have registered for courses and permissions have been obtained</w:t>
      </w:r>
      <w:r>
        <w:rPr>
          <w:rFonts w:ascii="Times New Roman" w:hAnsi="Times New Roman" w:cs="Times New Roman"/>
          <w:sz w:val="24"/>
          <w:szCs w:val="24"/>
        </w:rPr>
        <w:t xml:space="preserve"> during the third week in May</w:t>
      </w:r>
      <w:r w:rsidR="00BC22AB">
        <w:rPr>
          <w:rFonts w:ascii="Times New Roman" w:hAnsi="Times New Roman" w:cs="Times New Roman"/>
          <w:sz w:val="24"/>
          <w:szCs w:val="24"/>
        </w:rPr>
        <w:t xml:space="preserve"> 2022</w:t>
      </w:r>
      <w:r w:rsidR="00462080">
        <w:rPr>
          <w:rFonts w:ascii="Times New Roman" w:hAnsi="Times New Roman" w:cs="Times New Roman"/>
          <w:sz w:val="24"/>
          <w:szCs w:val="24"/>
        </w:rPr>
        <w:t xml:space="preserve">. </w:t>
      </w:r>
      <w:r w:rsidR="00323955">
        <w:rPr>
          <w:rFonts w:ascii="Times New Roman" w:hAnsi="Times New Roman" w:cs="Times New Roman"/>
          <w:sz w:val="24"/>
          <w:szCs w:val="24"/>
        </w:rPr>
        <w:t xml:space="preserve">Completed forms </w:t>
      </w:r>
      <w:r>
        <w:rPr>
          <w:rFonts w:ascii="Times New Roman" w:hAnsi="Times New Roman" w:cs="Times New Roman"/>
          <w:sz w:val="24"/>
          <w:szCs w:val="24"/>
        </w:rPr>
        <w:t xml:space="preserve">were collected by </w:t>
      </w:r>
      <w:r w:rsidR="00323955">
        <w:rPr>
          <w:rFonts w:ascii="Times New Roman" w:hAnsi="Times New Roman" w:cs="Times New Roman"/>
          <w:sz w:val="24"/>
          <w:szCs w:val="24"/>
        </w:rPr>
        <w:t xml:space="preserve">the researcher for scanning. </w:t>
      </w:r>
      <w:r w:rsidR="009424E5" w:rsidRPr="00B96861">
        <w:rPr>
          <w:rFonts w:ascii="Times New Roman" w:hAnsi="Times New Roman" w:cs="Times New Roman"/>
          <w:sz w:val="24"/>
          <w:szCs w:val="24"/>
        </w:rPr>
        <w:t xml:space="preserve">Both instruments </w:t>
      </w:r>
      <w:r>
        <w:rPr>
          <w:rFonts w:ascii="Times New Roman" w:hAnsi="Times New Roman" w:cs="Times New Roman"/>
          <w:sz w:val="24"/>
          <w:szCs w:val="24"/>
        </w:rPr>
        <w:t>were</w:t>
      </w:r>
      <w:r w:rsidR="009424E5" w:rsidRPr="00B96861">
        <w:rPr>
          <w:rFonts w:ascii="Times New Roman" w:hAnsi="Times New Roman" w:cs="Times New Roman"/>
          <w:sz w:val="24"/>
          <w:szCs w:val="24"/>
        </w:rPr>
        <w:t xml:space="preserve"> administered by the </w:t>
      </w:r>
      <w:r>
        <w:rPr>
          <w:rFonts w:ascii="Times New Roman" w:hAnsi="Times New Roman" w:cs="Times New Roman"/>
          <w:sz w:val="24"/>
          <w:szCs w:val="24"/>
        </w:rPr>
        <w:t>researcher</w:t>
      </w:r>
      <w:r w:rsidR="009424E5" w:rsidRPr="00B96861">
        <w:rPr>
          <w:rFonts w:ascii="Times New Roman" w:hAnsi="Times New Roman" w:cs="Times New Roman"/>
          <w:sz w:val="24"/>
          <w:szCs w:val="24"/>
        </w:rPr>
        <w:t xml:space="preserve"> during regular </w:t>
      </w:r>
      <w:r w:rsidR="00733395">
        <w:rPr>
          <w:rFonts w:ascii="Times New Roman" w:hAnsi="Times New Roman" w:cs="Times New Roman"/>
          <w:sz w:val="24"/>
          <w:szCs w:val="24"/>
        </w:rPr>
        <w:t>class</w:t>
      </w:r>
      <w:r w:rsidR="009424E5" w:rsidRPr="00B96861">
        <w:rPr>
          <w:rFonts w:ascii="Times New Roman" w:hAnsi="Times New Roman" w:cs="Times New Roman"/>
          <w:sz w:val="24"/>
          <w:szCs w:val="24"/>
        </w:rPr>
        <w:t xml:space="preserve"> meeting times.</w:t>
      </w:r>
      <w:r w:rsidR="009424E5" w:rsidRPr="00AD36D9">
        <w:rPr>
          <w:rFonts w:ascii="Times New Roman" w:hAnsi="Times New Roman" w:cs="Times New Roman"/>
          <w:sz w:val="24"/>
          <w:szCs w:val="24"/>
        </w:rPr>
        <w:t xml:space="preserve"> </w:t>
      </w:r>
    </w:p>
    <w:p w14:paraId="2EEEEA9A" w14:textId="38FBA592" w:rsidR="00FB41AA" w:rsidRPr="00AD36D9" w:rsidRDefault="00FB41AA" w:rsidP="00BA4A2D">
      <w:pPr>
        <w:pStyle w:val="Heading2"/>
      </w:pPr>
      <w:bookmarkStart w:id="41" w:name="_Toc117501925"/>
      <w:r w:rsidRPr="00AD36D9">
        <w:t>Data Analysis</w:t>
      </w:r>
      <w:bookmarkEnd w:id="41"/>
      <w:r w:rsidRPr="00AD36D9">
        <w:t xml:space="preserve"> </w:t>
      </w:r>
    </w:p>
    <w:p w14:paraId="1EAAE1B3" w14:textId="19D3A824" w:rsidR="00FB41AA" w:rsidRPr="00AD36D9" w:rsidRDefault="00FB41AA" w:rsidP="00BA4A2D">
      <w:pPr>
        <w:widowControl w:val="0"/>
        <w:spacing w:after="0" w:line="480" w:lineRule="auto"/>
        <w:rPr>
          <w:rFonts w:ascii="Times New Roman" w:hAnsi="Times New Roman" w:cs="Times New Roman"/>
          <w:sz w:val="24"/>
          <w:szCs w:val="24"/>
        </w:rPr>
      </w:pPr>
      <w:r w:rsidRPr="00AD36D9">
        <w:rPr>
          <w:rFonts w:ascii="Times New Roman" w:hAnsi="Times New Roman" w:cs="Times New Roman"/>
          <w:b/>
          <w:sz w:val="24"/>
          <w:szCs w:val="24"/>
        </w:rPr>
        <w:t>Descriptive Analysis</w:t>
      </w:r>
      <w:r w:rsidRPr="00AD36D9">
        <w:rPr>
          <w:rFonts w:ascii="Times New Roman" w:hAnsi="Times New Roman" w:cs="Times New Roman"/>
          <w:sz w:val="24"/>
          <w:szCs w:val="24"/>
        </w:rPr>
        <w:t xml:space="preserve"> </w:t>
      </w:r>
    </w:p>
    <w:p w14:paraId="1CA15C02" w14:textId="7344AF0A" w:rsidR="00FB41AA" w:rsidRPr="00AD36D9" w:rsidRDefault="00FB41AA" w:rsidP="00BA4A2D">
      <w:pPr>
        <w:widowControl w:val="0"/>
        <w:spacing w:after="0" w:line="480" w:lineRule="auto"/>
        <w:rPr>
          <w:rFonts w:ascii="Times New Roman" w:hAnsi="Times New Roman" w:cs="Times New Roman"/>
          <w:sz w:val="24"/>
          <w:szCs w:val="24"/>
        </w:rPr>
      </w:pPr>
      <w:r w:rsidRPr="00AD36D9">
        <w:rPr>
          <w:rFonts w:ascii="Times New Roman" w:hAnsi="Times New Roman" w:cs="Times New Roman"/>
          <w:sz w:val="24"/>
          <w:szCs w:val="24"/>
        </w:rPr>
        <w:tab/>
        <w:t xml:space="preserve">A full description of the participants in the study </w:t>
      </w:r>
      <w:r w:rsidR="005516B0" w:rsidRPr="00AD36D9">
        <w:rPr>
          <w:rFonts w:ascii="Times New Roman" w:hAnsi="Times New Roman" w:cs="Times New Roman"/>
          <w:sz w:val="24"/>
          <w:szCs w:val="24"/>
        </w:rPr>
        <w:t>include</w:t>
      </w:r>
      <w:r w:rsidR="005516B0">
        <w:rPr>
          <w:rFonts w:ascii="Times New Roman" w:hAnsi="Times New Roman" w:cs="Times New Roman"/>
          <w:sz w:val="24"/>
          <w:szCs w:val="24"/>
        </w:rPr>
        <w:t>d</w:t>
      </w:r>
      <w:r w:rsidR="005516B0" w:rsidRPr="00AD36D9">
        <w:rPr>
          <w:rFonts w:ascii="Times New Roman" w:hAnsi="Times New Roman" w:cs="Times New Roman"/>
          <w:sz w:val="24"/>
          <w:szCs w:val="24"/>
        </w:rPr>
        <w:t xml:space="preserve"> </w:t>
      </w:r>
      <w:r w:rsidRPr="00AD36D9">
        <w:rPr>
          <w:rFonts w:ascii="Times New Roman" w:hAnsi="Times New Roman" w:cs="Times New Roman"/>
          <w:sz w:val="24"/>
          <w:szCs w:val="24"/>
        </w:rPr>
        <w:t>gender</w:t>
      </w:r>
      <w:r w:rsidR="00B11804" w:rsidRPr="00AD36D9">
        <w:rPr>
          <w:rFonts w:ascii="Times New Roman" w:hAnsi="Times New Roman" w:cs="Times New Roman"/>
          <w:sz w:val="24"/>
          <w:szCs w:val="24"/>
        </w:rPr>
        <w:t xml:space="preserve">, </w:t>
      </w:r>
      <w:r w:rsidR="00FD42BB" w:rsidRPr="00AD36D9">
        <w:rPr>
          <w:rFonts w:ascii="Times New Roman" w:hAnsi="Times New Roman" w:cs="Times New Roman"/>
          <w:sz w:val="24"/>
          <w:szCs w:val="24"/>
        </w:rPr>
        <w:t xml:space="preserve">grade level, </w:t>
      </w:r>
      <w:r w:rsidR="00733395">
        <w:rPr>
          <w:rFonts w:ascii="Times New Roman" w:hAnsi="Times New Roman" w:cs="Times New Roman"/>
          <w:sz w:val="24"/>
          <w:szCs w:val="24"/>
        </w:rPr>
        <w:t>prior math course</w:t>
      </w:r>
      <w:r w:rsidRPr="00AD36D9">
        <w:rPr>
          <w:rFonts w:ascii="Times New Roman" w:hAnsi="Times New Roman" w:cs="Times New Roman"/>
          <w:sz w:val="24"/>
          <w:szCs w:val="24"/>
        </w:rPr>
        <w:t xml:space="preserve">, </w:t>
      </w:r>
      <w:r w:rsidR="00C80A7E" w:rsidRPr="00AD36D9">
        <w:rPr>
          <w:rFonts w:ascii="Times New Roman" w:hAnsi="Times New Roman" w:cs="Times New Roman"/>
          <w:sz w:val="24"/>
          <w:szCs w:val="24"/>
        </w:rPr>
        <w:t xml:space="preserve">semester </w:t>
      </w:r>
      <w:r w:rsidR="00733395">
        <w:rPr>
          <w:rFonts w:ascii="Times New Roman" w:hAnsi="Times New Roman" w:cs="Times New Roman"/>
          <w:sz w:val="24"/>
          <w:szCs w:val="24"/>
        </w:rPr>
        <w:t>one</w:t>
      </w:r>
      <w:r w:rsidR="00C80A7E" w:rsidRPr="00AD36D9">
        <w:rPr>
          <w:rFonts w:ascii="Times New Roman" w:hAnsi="Times New Roman" w:cs="Times New Roman"/>
          <w:sz w:val="24"/>
          <w:szCs w:val="24"/>
        </w:rPr>
        <w:t xml:space="preserve"> grades, </w:t>
      </w:r>
      <w:r w:rsidRPr="00AD36D9">
        <w:rPr>
          <w:rFonts w:ascii="Times New Roman" w:hAnsi="Times New Roman" w:cs="Times New Roman"/>
          <w:sz w:val="24"/>
          <w:szCs w:val="24"/>
        </w:rPr>
        <w:t xml:space="preserve">and science course </w:t>
      </w:r>
      <w:r w:rsidR="00C80A7E" w:rsidRPr="00AD36D9">
        <w:rPr>
          <w:rFonts w:ascii="Times New Roman" w:hAnsi="Times New Roman" w:cs="Times New Roman"/>
          <w:sz w:val="24"/>
          <w:szCs w:val="24"/>
        </w:rPr>
        <w:t>enrollment decision for</w:t>
      </w:r>
      <w:r w:rsidRPr="00AD36D9">
        <w:rPr>
          <w:rFonts w:ascii="Times New Roman" w:hAnsi="Times New Roman" w:cs="Times New Roman"/>
          <w:sz w:val="24"/>
          <w:szCs w:val="24"/>
        </w:rPr>
        <w:t xml:space="preserve"> the following school year</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The number of participants is important to provide justification for statistical testing as well as to provide information on the response rate of participants</w:t>
      </w:r>
      <w:r w:rsidR="00C80A7E" w:rsidRPr="00AD36D9">
        <w:rPr>
          <w:rFonts w:ascii="Times New Roman" w:hAnsi="Times New Roman" w:cs="Times New Roman"/>
          <w:sz w:val="24"/>
          <w:szCs w:val="24"/>
        </w:rPr>
        <w:t xml:space="preserve"> and possible limitations of the study.</w:t>
      </w:r>
      <w:r w:rsidR="00FE1FD5">
        <w:rPr>
          <w:rFonts w:ascii="Times New Roman" w:hAnsi="Times New Roman" w:cs="Times New Roman"/>
          <w:sz w:val="24"/>
          <w:szCs w:val="24"/>
        </w:rPr>
        <w:t xml:space="preserve"> The total number of students enrolled in </w:t>
      </w:r>
      <w:r w:rsidR="008159B8">
        <w:rPr>
          <w:rFonts w:ascii="Times New Roman" w:hAnsi="Times New Roman" w:cs="Times New Roman"/>
          <w:sz w:val="24"/>
          <w:szCs w:val="24"/>
        </w:rPr>
        <w:t>first-year physics</w:t>
      </w:r>
      <w:r w:rsidR="00FE1FD5">
        <w:rPr>
          <w:rFonts w:ascii="Times New Roman" w:hAnsi="Times New Roman" w:cs="Times New Roman"/>
          <w:sz w:val="24"/>
          <w:szCs w:val="24"/>
        </w:rPr>
        <w:t xml:space="preserve"> at the research site at the time of the study was 222. Many of these students </w:t>
      </w:r>
      <w:r w:rsidR="005516B0">
        <w:rPr>
          <w:rFonts w:ascii="Times New Roman" w:hAnsi="Times New Roman" w:cs="Times New Roman"/>
          <w:sz w:val="24"/>
          <w:szCs w:val="24"/>
        </w:rPr>
        <w:t xml:space="preserve">were </w:t>
      </w:r>
      <w:r w:rsidR="00FE1FD5">
        <w:rPr>
          <w:rFonts w:ascii="Times New Roman" w:hAnsi="Times New Roman" w:cs="Times New Roman"/>
          <w:sz w:val="24"/>
          <w:szCs w:val="24"/>
        </w:rPr>
        <w:t xml:space="preserve">not eligible due to their senior status or mathematical background. The total number of participants after screening for eligibility and acquired permission numbered 124. </w:t>
      </w:r>
    </w:p>
    <w:p w14:paraId="7553733E" w14:textId="59076AB3" w:rsidR="00FB41AA" w:rsidRPr="00AD36D9" w:rsidRDefault="00FB41AA" w:rsidP="00BA4A2D">
      <w:pPr>
        <w:widowControl w:val="0"/>
        <w:spacing w:after="0" w:line="480" w:lineRule="auto"/>
        <w:rPr>
          <w:rFonts w:ascii="Times New Roman" w:hAnsi="Times New Roman" w:cs="Times New Roman"/>
          <w:sz w:val="24"/>
          <w:szCs w:val="24"/>
        </w:rPr>
      </w:pPr>
      <w:r w:rsidRPr="00AD36D9">
        <w:rPr>
          <w:rFonts w:ascii="Times New Roman" w:hAnsi="Times New Roman" w:cs="Times New Roman"/>
          <w:sz w:val="24"/>
          <w:szCs w:val="24"/>
        </w:rPr>
        <w:t xml:space="preserve"> </w:t>
      </w:r>
      <w:r w:rsidRPr="00AD36D9">
        <w:rPr>
          <w:rFonts w:ascii="Times New Roman" w:hAnsi="Times New Roman" w:cs="Times New Roman"/>
          <w:sz w:val="24"/>
          <w:szCs w:val="24"/>
        </w:rPr>
        <w:tab/>
      </w:r>
      <w:r w:rsidR="00733395">
        <w:rPr>
          <w:rFonts w:ascii="Times New Roman" w:hAnsi="Times New Roman" w:cs="Times New Roman"/>
          <w:sz w:val="24"/>
          <w:szCs w:val="24"/>
        </w:rPr>
        <w:t xml:space="preserve">An important </w:t>
      </w:r>
      <w:r w:rsidRPr="00AD36D9">
        <w:rPr>
          <w:rFonts w:ascii="Times New Roman" w:hAnsi="Times New Roman" w:cs="Times New Roman"/>
          <w:sz w:val="24"/>
          <w:szCs w:val="24"/>
        </w:rPr>
        <w:t xml:space="preserve">variable </w:t>
      </w:r>
      <w:r w:rsidR="00605041">
        <w:rPr>
          <w:rFonts w:ascii="Times New Roman" w:hAnsi="Times New Roman" w:cs="Times New Roman"/>
          <w:sz w:val="24"/>
          <w:szCs w:val="24"/>
        </w:rPr>
        <w:t xml:space="preserve">used </w:t>
      </w:r>
      <w:r w:rsidRPr="00AD36D9">
        <w:rPr>
          <w:rFonts w:ascii="Times New Roman" w:hAnsi="Times New Roman" w:cs="Times New Roman"/>
          <w:sz w:val="24"/>
          <w:szCs w:val="24"/>
        </w:rPr>
        <w:t xml:space="preserve">to screen the </w:t>
      </w:r>
      <w:r w:rsidR="00605041">
        <w:rPr>
          <w:rFonts w:ascii="Times New Roman" w:hAnsi="Times New Roman" w:cs="Times New Roman"/>
          <w:sz w:val="24"/>
          <w:szCs w:val="24"/>
        </w:rPr>
        <w:t>eligible participants</w:t>
      </w:r>
      <w:r w:rsidR="00605041"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in the </w:t>
      </w:r>
      <w:r w:rsidR="00BC4EE5" w:rsidRPr="00AD36D9">
        <w:rPr>
          <w:rFonts w:ascii="Times New Roman" w:hAnsi="Times New Roman" w:cs="Times New Roman"/>
          <w:sz w:val="24"/>
          <w:szCs w:val="24"/>
        </w:rPr>
        <w:t xml:space="preserve">study sample </w:t>
      </w:r>
      <w:r w:rsidR="005516B0">
        <w:rPr>
          <w:rFonts w:ascii="Times New Roman" w:hAnsi="Times New Roman" w:cs="Times New Roman"/>
          <w:sz w:val="24"/>
          <w:szCs w:val="24"/>
        </w:rPr>
        <w:t>was</w:t>
      </w:r>
      <w:r w:rsidR="005516B0"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the math course they </w:t>
      </w:r>
      <w:r w:rsidR="00733395">
        <w:rPr>
          <w:rFonts w:ascii="Times New Roman" w:hAnsi="Times New Roman" w:cs="Times New Roman"/>
          <w:sz w:val="24"/>
          <w:szCs w:val="24"/>
        </w:rPr>
        <w:t xml:space="preserve">are currently </w:t>
      </w:r>
      <w:r w:rsidRPr="00AD36D9">
        <w:rPr>
          <w:rFonts w:ascii="Times New Roman" w:hAnsi="Times New Roman" w:cs="Times New Roman"/>
          <w:sz w:val="24"/>
          <w:szCs w:val="24"/>
        </w:rPr>
        <w:t>enroll</w:t>
      </w:r>
      <w:r w:rsidR="00733395">
        <w:rPr>
          <w:rFonts w:ascii="Times New Roman" w:hAnsi="Times New Roman" w:cs="Times New Roman"/>
          <w:sz w:val="24"/>
          <w:szCs w:val="24"/>
        </w:rPr>
        <w:t>ed in</w:t>
      </w:r>
      <w:r w:rsidR="002D1EB3">
        <w:rPr>
          <w:rFonts w:ascii="Times New Roman" w:hAnsi="Times New Roman" w:cs="Times New Roman"/>
          <w:sz w:val="24"/>
          <w:szCs w:val="24"/>
        </w:rPr>
        <w:t>.</w:t>
      </w:r>
      <w:r w:rsidR="00605041">
        <w:rPr>
          <w:rFonts w:ascii="Times New Roman" w:hAnsi="Times New Roman" w:cs="Times New Roman"/>
          <w:sz w:val="24"/>
          <w:szCs w:val="24"/>
        </w:rPr>
        <w:t xml:space="preserve"> T</w:t>
      </w:r>
      <w:r w:rsidRPr="00AD36D9">
        <w:rPr>
          <w:rFonts w:ascii="Times New Roman" w:hAnsi="Times New Roman" w:cs="Times New Roman"/>
          <w:sz w:val="24"/>
          <w:szCs w:val="24"/>
        </w:rPr>
        <w:t>he second</w:t>
      </w:r>
      <w:r w:rsidR="004A422B" w:rsidRPr="00AD36D9">
        <w:rPr>
          <w:rFonts w:ascii="Times New Roman" w:hAnsi="Times New Roman" w:cs="Times New Roman"/>
          <w:sz w:val="24"/>
          <w:szCs w:val="24"/>
        </w:rPr>
        <w:t>-</w:t>
      </w:r>
      <w:r w:rsidRPr="00AD36D9">
        <w:rPr>
          <w:rFonts w:ascii="Times New Roman" w:hAnsi="Times New Roman" w:cs="Times New Roman"/>
          <w:sz w:val="24"/>
          <w:szCs w:val="24"/>
        </w:rPr>
        <w:t xml:space="preserve">year physics course at the research location, </w:t>
      </w:r>
      <w:r w:rsidR="0066722A">
        <w:rPr>
          <w:rFonts w:ascii="Times New Roman" w:hAnsi="Times New Roman" w:cs="Times New Roman"/>
          <w:sz w:val="24"/>
          <w:szCs w:val="24"/>
        </w:rPr>
        <w:t>AP</w:t>
      </w:r>
      <w:r w:rsidRPr="00AD36D9">
        <w:rPr>
          <w:rFonts w:ascii="Times New Roman" w:hAnsi="Times New Roman" w:cs="Times New Roman"/>
          <w:sz w:val="24"/>
          <w:szCs w:val="24"/>
        </w:rPr>
        <w:t xml:space="preserve"> Physics C, carries a math course prerequisite of AP Calculus. Students who </w:t>
      </w:r>
      <w:r w:rsidR="00733395">
        <w:rPr>
          <w:rFonts w:ascii="Times New Roman" w:hAnsi="Times New Roman" w:cs="Times New Roman"/>
          <w:sz w:val="24"/>
          <w:szCs w:val="24"/>
        </w:rPr>
        <w:t xml:space="preserve">are not currently enrolled in either pre-calculus or AP calculus do not have the option to enroll in a </w:t>
      </w:r>
      <w:r w:rsidRPr="00AD36D9">
        <w:rPr>
          <w:rFonts w:ascii="Times New Roman" w:hAnsi="Times New Roman" w:cs="Times New Roman"/>
          <w:sz w:val="24"/>
          <w:szCs w:val="24"/>
        </w:rPr>
        <w:t>second year of physics.</w:t>
      </w:r>
      <w:r w:rsidR="00DD272D">
        <w:rPr>
          <w:rFonts w:ascii="Times New Roman" w:hAnsi="Times New Roman" w:cs="Times New Roman"/>
          <w:sz w:val="24"/>
          <w:szCs w:val="24"/>
        </w:rPr>
        <w:t xml:space="preserve"> Eleven participants who did not meet this math requirement were </w:t>
      </w:r>
      <w:r w:rsidR="00DD272D">
        <w:rPr>
          <w:rFonts w:ascii="Times New Roman" w:hAnsi="Times New Roman" w:cs="Times New Roman"/>
          <w:sz w:val="24"/>
          <w:szCs w:val="24"/>
        </w:rPr>
        <w:lastRenderedPageBreak/>
        <w:t xml:space="preserve">removed from the study. </w:t>
      </w:r>
      <w:r w:rsidRPr="00AD36D9">
        <w:rPr>
          <w:rFonts w:ascii="Times New Roman" w:hAnsi="Times New Roman" w:cs="Times New Roman"/>
          <w:sz w:val="24"/>
          <w:szCs w:val="24"/>
        </w:rPr>
        <w:t xml:space="preserve">Students who enroll in </w:t>
      </w:r>
      <w:r w:rsidR="0066722A">
        <w:rPr>
          <w:rFonts w:ascii="Times New Roman" w:hAnsi="Times New Roman" w:cs="Times New Roman"/>
          <w:sz w:val="24"/>
          <w:szCs w:val="24"/>
        </w:rPr>
        <w:t>AP</w:t>
      </w:r>
      <w:r w:rsidRPr="00AD36D9">
        <w:rPr>
          <w:rFonts w:ascii="Times New Roman" w:hAnsi="Times New Roman" w:cs="Times New Roman"/>
          <w:sz w:val="24"/>
          <w:szCs w:val="24"/>
        </w:rPr>
        <w:t xml:space="preserve"> Physics 1 do not have a math</w:t>
      </w:r>
      <w:r w:rsidR="0066722A">
        <w:rPr>
          <w:rFonts w:ascii="Times New Roman" w:hAnsi="Times New Roman" w:cs="Times New Roman"/>
          <w:sz w:val="24"/>
          <w:szCs w:val="24"/>
        </w:rPr>
        <w:t xml:space="preserve"> </w:t>
      </w:r>
      <w:r w:rsidRPr="00AD36D9">
        <w:rPr>
          <w:rFonts w:ascii="Times New Roman" w:hAnsi="Times New Roman" w:cs="Times New Roman"/>
          <w:sz w:val="24"/>
          <w:szCs w:val="24"/>
        </w:rPr>
        <w:t xml:space="preserve">prerequisite. </w:t>
      </w:r>
    </w:p>
    <w:p w14:paraId="1D790C69" w14:textId="52114DDF" w:rsidR="00FB41AA" w:rsidRPr="00DD272D" w:rsidRDefault="00FB41AA" w:rsidP="00BA4A2D">
      <w:pPr>
        <w:widowControl w:val="0"/>
        <w:spacing w:after="0" w:line="480" w:lineRule="auto"/>
        <w:rPr>
          <w:rFonts w:ascii="Times New Roman" w:hAnsi="Times New Roman" w:cs="Times New Roman"/>
          <w:sz w:val="24"/>
          <w:szCs w:val="24"/>
        </w:rPr>
      </w:pPr>
      <w:r w:rsidRPr="00AD36D9">
        <w:rPr>
          <w:rFonts w:ascii="Times New Roman" w:hAnsi="Times New Roman" w:cs="Times New Roman"/>
          <w:sz w:val="24"/>
          <w:szCs w:val="24"/>
        </w:rPr>
        <w:tab/>
        <w:t xml:space="preserve">After the data </w:t>
      </w:r>
      <w:r w:rsidR="00AF5110">
        <w:rPr>
          <w:rFonts w:ascii="Times New Roman" w:hAnsi="Times New Roman" w:cs="Times New Roman"/>
          <w:sz w:val="24"/>
          <w:szCs w:val="24"/>
        </w:rPr>
        <w:t>were</w:t>
      </w:r>
      <w:r w:rsidR="00AF5110"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reduced to students eligible to enroll in a second year of physics and the SOSESC-P instrument </w:t>
      </w:r>
      <w:r w:rsidR="005516B0">
        <w:rPr>
          <w:rFonts w:ascii="Times New Roman" w:hAnsi="Times New Roman" w:cs="Times New Roman"/>
          <w:sz w:val="24"/>
          <w:szCs w:val="24"/>
        </w:rPr>
        <w:t>was</w:t>
      </w:r>
      <w:r w:rsidRPr="00AD36D9">
        <w:rPr>
          <w:rFonts w:ascii="Times New Roman" w:hAnsi="Times New Roman" w:cs="Times New Roman"/>
          <w:sz w:val="24"/>
          <w:szCs w:val="24"/>
        </w:rPr>
        <w:t xml:space="preserve"> administered, measurements of central tendencies</w:t>
      </w:r>
      <w:r w:rsidR="00AA1DC5" w:rsidRPr="00AD36D9">
        <w:rPr>
          <w:rFonts w:ascii="Times New Roman" w:hAnsi="Times New Roman" w:cs="Times New Roman"/>
          <w:sz w:val="24"/>
          <w:szCs w:val="24"/>
        </w:rPr>
        <w:t xml:space="preserve">, including both the mean and median, </w:t>
      </w:r>
      <w:r w:rsidR="00DD272D">
        <w:rPr>
          <w:rFonts w:ascii="Times New Roman" w:hAnsi="Times New Roman" w:cs="Times New Roman"/>
          <w:sz w:val="24"/>
          <w:szCs w:val="24"/>
        </w:rPr>
        <w:t xml:space="preserve">were </w:t>
      </w:r>
      <w:r w:rsidR="00617BD0">
        <w:rPr>
          <w:rFonts w:ascii="Times New Roman" w:hAnsi="Times New Roman" w:cs="Times New Roman"/>
          <w:sz w:val="24"/>
          <w:szCs w:val="24"/>
        </w:rPr>
        <w:t>calculated</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These measures of central tendencies </w:t>
      </w:r>
      <w:r w:rsidR="005516B0">
        <w:rPr>
          <w:rFonts w:ascii="Times New Roman" w:hAnsi="Times New Roman" w:cs="Times New Roman"/>
          <w:sz w:val="24"/>
          <w:szCs w:val="24"/>
        </w:rPr>
        <w:t>were</w:t>
      </w:r>
      <w:r w:rsidR="005516B0"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reported for </w:t>
      </w:r>
      <w:r w:rsidR="00C80A7E" w:rsidRPr="00AD36D9">
        <w:rPr>
          <w:rFonts w:ascii="Times New Roman" w:hAnsi="Times New Roman" w:cs="Times New Roman"/>
          <w:sz w:val="24"/>
          <w:szCs w:val="24"/>
        </w:rPr>
        <w:t xml:space="preserve">composite </w:t>
      </w:r>
      <w:r w:rsidRPr="00AD36D9">
        <w:rPr>
          <w:rFonts w:ascii="Times New Roman" w:hAnsi="Times New Roman" w:cs="Times New Roman"/>
          <w:sz w:val="24"/>
          <w:szCs w:val="24"/>
        </w:rPr>
        <w:t>levels of self-efficacy as well as disaggregated by each of Bandura’s</w:t>
      </w:r>
      <w:r w:rsidR="00BC22AB">
        <w:rPr>
          <w:rFonts w:ascii="Times New Roman" w:hAnsi="Times New Roman" w:cs="Times New Roman"/>
          <w:sz w:val="24"/>
          <w:szCs w:val="24"/>
        </w:rPr>
        <w:t xml:space="preserve"> (1977)</w:t>
      </w:r>
      <w:r w:rsidRPr="00AD36D9">
        <w:rPr>
          <w:rFonts w:ascii="Times New Roman" w:hAnsi="Times New Roman" w:cs="Times New Roman"/>
          <w:sz w:val="24"/>
          <w:szCs w:val="24"/>
        </w:rPr>
        <w:t xml:space="preserve"> four sources of self-efficacy</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This info</w:t>
      </w:r>
      <w:r w:rsidR="00DD272D">
        <w:rPr>
          <w:rFonts w:ascii="Times New Roman" w:hAnsi="Times New Roman" w:cs="Times New Roman"/>
          <w:sz w:val="24"/>
          <w:szCs w:val="24"/>
        </w:rPr>
        <w:t>rmation gives</w:t>
      </w:r>
      <w:r w:rsidRPr="00AD36D9">
        <w:rPr>
          <w:rFonts w:ascii="Times New Roman" w:hAnsi="Times New Roman" w:cs="Times New Roman"/>
          <w:sz w:val="24"/>
          <w:szCs w:val="24"/>
        </w:rPr>
        <w:t xml:space="preserve"> reader of the study a sense for the general level of self-efficacy of the study participants</w:t>
      </w:r>
      <w:r w:rsidR="00736F31" w:rsidRPr="00AD36D9">
        <w:rPr>
          <w:rFonts w:ascii="Times New Roman" w:hAnsi="Times New Roman" w:cs="Times New Roman"/>
          <w:sz w:val="24"/>
          <w:szCs w:val="24"/>
        </w:rPr>
        <w:t>.</w:t>
      </w:r>
      <w:r w:rsidR="00FE1FD5">
        <w:rPr>
          <w:rFonts w:ascii="Times New Roman" w:hAnsi="Times New Roman" w:cs="Times New Roman"/>
          <w:sz w:val="24"/>
          <w:szCs w:val="24"/>
        </w:rPr>
        <w:t xml:space="preserve"> </w:t>
      </w:r>
    </w:p>
    <w:p w14:paraId="121D7FB2" w14:textId="77777777" w:rsidR="00176C1B" w:rsidRPr="00AD36D9" w:rsidRDefault="00176C1B" w:rsidP="00BA4A2D">
      <w:pPr>
        <w:widowControl w:val="0"/>
        <w:spacing w:after="0" w:line="480" w:lineRule="auto"/>
        <w:rPr>
          <w:rFonts w:ascii="Times New Roman" w:hAnsi="Times New Roman" w:cs="Times New Roman"/>
          <w:sz w:val="24"/>
          <w:szCs w:val="24"/>
        </w:rPr>
      </w:pPr>
      <w:bookmarkStart w:id="42" w:name="_Toc349720647"/>
      <w:bookmarkStart w:id="43" w:name="_Toc350241691"/>
      <w:bookmarkStart w:id="44" w:name="_Toc351528712"/>
      <w:r w:rsidRPr="00AD36D9">
        <w:rPr>
          <w:rFonts w:ascii="Times New Roman" w:hAnsi="Times New Roman" w:cs="Times New Roman"/>
          <w:b/>
          <w:sz w:val="24"/>
          <w:szCs w:val="24"/>
        </w:rPr>
        <w:t>Inferential Analysis</w:t>
      </w:r>
    </w:p>
    <w:p w14:paraId="10B878A8" w14:textId="37BB677C" w:rsidR="00176C1B" w:rsidRPr="00647AEC" w:rsidRDefault="00176C1B" w:rsidP="00BA4A2D">
      <w:pPr>
        <w:widowControl w:val="0"/>
        <w:spacing w:after="0" w:line="480" w:lineRule="auto"/>
        <w:ind w:firstLine="720"/>
        <w:rPr>
          <w:rFonts w:ascii="Times New Roman" w:hAnsi="Times New Roman" w:cs="Times New Roman"/>
          <w:sz w:val="24"/>
          <w:szCs w:val="24"/>
        </w:rPr>
      </w:pPr>
      <w:r w:rsidRPr="00647AEC">
        <w:rPr>
          <w:rFonts w:ascii="Times New Roman" w:hAnsi="Times New Roman" w:cs="Times New Roman"/>
          <w:sz w:val="24"/>
          <w:szCs w:val="24"/>
        </w:rPr>
        <w:t xml:space="preserve">This study </w:t>
      </w:r>
      <w:r w:rsidR="005516B0">
        <w:rPr>
          <w:rFonts w:ascii="Times New Roman" w:hAnsi="Times New Roman" w:cs="Times New Roman"/>
          <w:sz w:val="24"/>
          <w:szCs w:val="24"/>
        </w:rPr>
        <w:t>sought</w:t>
      </w:r>
      <w:r w:rsidR="005516B0" w:rsidRPr="00647AEC">
        <w:rPr>
          <w:rFonts w:ascii="Times New Roman" w:hAnsi="Times New Roman" w:cs="Times New Roman"/>
          <w:sz w:val="24"/>
          <w:szCs w:val="24"/>
        </w:rPr>
        <w:t xml:space="preserve"> </w:t>
      </w:r>
      <w:r w:rsidRPr="00647AEC">
        <w:rPr>
          <w:rFonts w:ascii="Times New Roman" w:hAnsi="Times New Roman" w:cs="Times New Roman"/>
          <w:sz w:val="24"/>
          <w:szCs w:val="24"/>
        </w:rPr>
        <w:t>to explore the role self-efficacy</w:t>
      </w:r>
      <w:r w:rsidR="005516B0">
        <w:rPr>
          <w:rFonts w:ascii="Times New Roman" w:hAnsi="Times New Roman" w:cs="Times New Roman"/>
          <w:sz w:val="24"/>
          <w:szCs w:val="24"/>
        </w:rPr>
        <w:t xml:space="preserve">, </w:t>
      </w:r>
      <w:r w:rsidRPr="00647AEC">
        <w:rPr>
          <w:rFonts w:ascii="Times New Roman" w:hAnsi="Times New Roman" w:cs="Times New Roman"/>
          <w:sz w:val="24"/>
          <w:szCs w:val="24"/>
        </w:rPr>
        <w:t xml:space="preserve">a continuous independent variable, plays in the binary high school students’ choice to enroll or not enroll in a second year of high school physics. Differences between genders in the role self-efficacy </w:t>
      </w:r>
      <w:r w:rsidR="005516B0" w:rsidRPr="00647AEC">
        <w:rPr>
          <w:rFonts w:ascii="Times New Roman" w:hAnsi="Times New Roman" w:cs="Times New Roman"/>
          <w:sz w:val="24"/>
          <w:szCs w:val="24"/>
        </w:rPr>
        <w:t>play</w:t>
      </w:r>
      <w:r w:rsidR="005516B0">
        <w:rPr>
          <w:rFonts w:ascii="Times New Roman" w:hAnsi="Times New Roman" w:cs="Times New Roman"/>
          <w:sz w:val="24"/>
          <w:szCs w:val="24"/>
        </w:rPr>
        <w:t>ed</w:t>
      </w:r>
      <w:r w:rsidR="005516B0" w:rsidRPr="00647AEC">
        <w:rPr>
          <w:rFonts w:ascii="Times New Roman" w:hAnsi="Times New Roman" w:cs="Times New Roman"/>
          <w:sz w:val="24"/>
          <w:szCs w:val="24"/>
        </w:rPr>
        <w:t xml:space="preserve"> </w:t>
      </w:r>
      <w:r w:rsidRPr="00647AEC">
        <w:rPr>
          <w:rFonts w:ascii="Times New Roman" w:hAnsi="Times New Roman" w:cs="Times New Roman"/>
          <w:sz w:val="24"/>
          <w:szCs w:val="24"/>
        </w:rPr>
        <w:t xml:space="preserve">in enrollment decisions </w:t>
      </w:r>
      <w:r w:rsidR="007518B2" w:rsidRPr="00647AEC">
        <w:rPr>
          <w:rFonts w:ascii="Times New Roman" w:hAnsi="Times New Roman" w:cs="Times New Roman"/>
          <w:sz w:val="24"/>
          <w:szCs w:val="24"/>
        </w:rPr>
        <w:t>was also</w:t>
      </w:r>
      <w:r w:rsidRPr="00647AEC">
        <w:rPr>
          <w:rFonts w:ascii="Times New Roman" w:hAnsi="Times New Roman" w:cs="Times New Roman"/>
          <w:sz w:val="24"/>
          <w:szCs w:val="24"/>
        </w:rPr>
        <w:t xml:space="preserve"> explored.</w:t>
      </w:r>
      <w:r w:rsidR="007518B2" w:rsidRPr="00647AEC">
        <w:rPr>
          <w:rFonts w:ascii="Times New Roman" w:hAnsi="Times New Roman" w:cs="Times New Roman"/>
          <w:sz w:val="24"/>
          <w:szCs w:val="24"/>
        </w:rPr>
        <w:t xml:space="preserve"> This relationship was</w:t>
      </w:r>
      <w:r w:rsidRPr="00647AEC">
        <w:rPr>
          <w:rFonts w:ascii="Times New Roman" w:hAnsi="Times New Roman" w:cs="Times New Roman"/>
          <w:sz w:val="24"/>
          <w:szCs w:val="24"/>
        </w:rPr>
        <w:t xml:space="preserve"> explored by the development of two predictive models, one for men and the other women in physics. As the dependent variable, enrollment decision (ENRD), is a categorical variable with </w:t>
      </w:r>
      <w:r w:rsidR="0014055B">
        <w:rPr>
          <w:rFonts w:ascii="Times New Roman" w:hAnsi="Times New Roman" w:cs="Times New Roman"/>
          <w:sz w:val="24"/>
          <w:szCs w:val="24"/>
        </w:rPr>
        <w:t>“</w:t>
      </w:r>
      <w:r w:rsidRPr="00647AEC">
        <w:rPr>
          <w:rFonts w:ascii="Times New Roman" w:hAnsi="Times New Roman" w:cs="Times New Roman"/>
          <w:sz w:val="24"/>
          <w:szCs w:val="24"/>
        </w:rPr>
        <w:t>0</w:t>
      </w:r>
      <w:r w:rsidR="0014055B">
        <w:rPr>
          <w:rFonts w:ascii="Times New Roman" w:hAnsi="Times New Roman" w:cs="Times New Roman"/>
          <w:sz w:val="24"/>
          <w:szCs w:val="24"/>
        </w:rPr>
        <w:t>”</w:t>
      </w:r>
      <w:r w:rsidRPr="00647AEC">
        <w:rPr>
          <w:rFonts w:ascii="Times New Roman" w:hAnsi="Times New Roman" w:cs="Times New Roman"/>
          <w:sz w:val="24"/>
          <w:szCs w:val="24"/>
        </w:rPr>
        <w:t xml:space="preserve"> = not enrolling and </w:t>
      </w:r>
      <w:r w:rsidR="0014055B">
        <w:rPr>
          <w:rFonts w:ascii="Times New Roman" w:hAnsi="Times New Roman" w:cs="Times New Roman"/>
          <w:sz w:val="24"/>
          <w:szCs w:val="24"/>
        </w:rPr>
        <w:t>“</w:t>
      </w:r>
      <w:r w:rsidRPr="00647AEC">
        <w:rPr>
          <w:rFonts w:ascii="Times New Roman" w:hAnsi="Times New Roman" w:cs="Times New Roman"/>
          <w:sz w:val="24"/>
          <w:szCs w:val="24"/>
        </w:rPr>
        <w:t>1</w:t>
      </w:r>
      <w:r w:rsidR="0014055B">
        <w:rPr>
          <w:rFonts w:ascii="Times New Roman" w:hAnsi="Times New Roman" w:cs="Times New Roman"/>
          <w:sz w:val="24"/>
          <w:szCs w:val="24"/>
        </w:rPr>
        <w:t>”</w:t>
      </w:r>
      <w:r w:rsidRPr="00647AEC">
        <w:rPr>
          <w:rFonts w:ascii="Times New Roman" w:hAnsi="Times New Roman" w:cs="Times New Roman"/>
          <w:sz w:val="24"/>
          <w:szCs w:val="24"/>
        </w:rPr>
        <w:t xml:space="preserve"> = enrolling</w:t>
      </w:r>
      <w:r w:rsidR="00617BD0" w:rsidRPr="00647AEC">
        <w:rPr>
          <w:rFonts w:ascii="Times New Roman" w:hAnsi="Times New Roman" w:cs="Times New Roman"/>
          <w:sz w:val="24"/>
          <w:szCs w:val="24"/>
        </w:rPr>
        <w:t>, binary</w:t>
      </w:r>
      <w:r w:rsidRPr="00647AEC">
        <w:rPr>
          <w:rFonts w:ascii="Times New Roman" w:hAnsi="Times New Roman" w:cs="Times New Roman"/>
          <w:sz w:val="24"/>
          <w:szCs w:val="24"/>
        </w:rPr>
        <w:t xml:space="preserve"> logistic regression </w:t>
      </w:r>
      <w:r w:rsidR="007518B2" w:rsidRPr="00647AEC">
        <w:rPr>
          <w:rFonts w:ascii="Times New Roman" w:hAnsi="Times New Roman" w:cs="Times New Roman"/>
          <w:sz w:val="24"/>
          <w:szCs w:val="24"/>
        </w:rPr>
        <w:t>was</w:t>
      </w:r>
      <w:r w:rsidRPr="00647AEC">
        <w:rPr>
          <w:rFonts w:ascii="Times New Roman" w:hAnsi="Times New Roman" w:cs="Times New Roman"/>
          <w:sz w:val="24"/>
          <w:szCs w:val="24"/>
        </w:rPr>
        <w:t xml:space="preserve"> applied</w:t>
      </w:r>
      <w:r w:rsidR="0014055B">
        <w:rPr>
          <w:rFonts w:ascii="Times New Roman" w:hAnsi="Times New Roman" w:cs="Times New Roman"/>
          <w:sz w:val="24"/>
          <w:szCs w:val="24"/>
        </w:rPr>
        <w:t>.</w:t>
      </w:r>
    </w:p>
    <w:p w14:paraId="0FF976DD" w14:textId="04C84161" w:rsidR="00176C1B" w:rsidRPr="00647AEC" w:rsidRDefault="00176C1B" w:rsidP="00BA4A2D">
      <w:pPr>
        <w:pStyle w:val="NoSpacing"/>
        <w:widowControl w:val="0"/>
        <w:spacing w:line="480" w:lineRule="auto"/>
        <w:rPr>
          <w:rFonts w:ascii="Times New Roman" w:hAnsi="Times New Roman" w:cs="Times New Roman"/>
          <w:sz w:val="24"/>
          <w:szCs w:val="24"/>
        </w:rPr>
      </w:pPr>
      <w:r w:rsidRPr="00AD36D9">
        <w:rPr>
          <w:rFonts w:ascii="Times New Roman" w:hAnsi="Times New Roman" w:cs="Times New Roman"/>
          <w:sz w:val="24"/>
          <w:szCs w:val="24"/>
        </w:rPr>
        <w:tab/>
        <w:t xml:space="preserve">The first step after the </w:t>
      </w:r>
      <w:r>
        <w:rPr>
          <w:rFonts w:ascii="Times New Roman" w:hAnsi="Times New Roman" w:cs="Times New Roman"/>
          <w:sz w:val="24"/>
          <w:szCs w:val="24"/>
        </w:rPr>
        <w:t>collection of the</w:t>
      </w:r>
      <w:r w:rsidRPr="00AD36D9">
        <w:rPr>
          <w:rFonts w:ascii="Times New Roman" w:hAnsi="Times New Roman" w:cs="Times New Roman"/>
          <w:sz w:val="24"/>
          <w:szCs w:val="24"/>
        </w:rPr>
        <w:t xml:space="preserve"> data </w:t>
      </w:r>
      <w:r w:rsidR="007518B2">
        <w:rPr>
          <w:rFonts w:ascii="Times New Roman" w:hAnsi="Times New Roman" w:cs="Times New Roman"/>
          <w:sz w:val="24"/>
          <w:szCs w:val="24"/>
        </w:rPr>
        <w:t>was</w:t>
      </w:r>
      <w:r w:rsidRPr="00AD36D9">
        <w:rPr>
          <w:rFonts w:ascii="Times New Roman" w:hAnsi="Times New Roman" w:cs="Times New Roman"/>
          <w:sz w:val="24"/>
          <w:szCs w:val="24"/>
        </w:rPr>
        <w:t xml:space="preserve"> to screen </w:t>
      </w:r>
      <w:r>
        <w:rPr>
          <w:rFonts w:ascii="Times New Roman" w:hAnsi="Times New Roman" w:cs="Times New Roman"/>
          <w:sz w:val="24"/>
          <w:szCs w:val="24"/>
        </w:rPr>
        <w:t>and appropriately organize them</w:t>
      </w:r>
      <w:r w:rsidRPr="00AD36D9">
        <w:rPr>
          <w:rFonts w:ascii="Times New Roman" w:hAnsi="Times New Roman" w:cs="Times New Roman"/>
          <w:sz w:val="24"/>
          <w:szCs w:val="24"/>
        </w:rPr>
        <w:t xml:space="preserve">. Maximizing the number of available cases to include in this study </w:t>
      </w:r>
      <w:r w:rsidR="005516B0">
        <w:rPr>
          <w:rFonts w:ascii="Times New Roman" w:hAnsi="Times New Roman" w:cs="Times New Roman"/>
          <w:sz w:val="24"/>
          <w:szCs w:val="24"/>
        </w:rPr>
        <w:t>was</w:t>
      </w:r>
      <w:r w:rsidR="005516B0"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important due to the small number of cases where women choose to enroll in a second year of high school physics. </w:t>
      </w:r>
      <w:r w:rsidR="007518B2">
        <w:rPr>
          <w:rFonts w:ascii="Times New Roman" w:hAnsi="Times New Roman" w:cs="Times New Roman"/>
          <w:sz w:val="24"/>
          <w:szCs w:val="24"/>
        </w:rPr>
        <w:t xml:space="preserve">One case was identified with missing data on the SOSESC-P. </w:t>
      </w:r>
      <w:r w:rsidRPr="00AD36D9">
        <w:rPr>
          <w:rFonts w:ascii="Times New Roman" w:hAnsi="Times New Roman" w:cs="Times New Roman"/>
          <w:sz w:val="24"/>
          <w:szCs w:val="24"/>
        </w:rPr>
        <w:t xml:space="preserve">Rather than delete </w:t>
      </w:r>
      <w:r w:rsidR="007518B2">
        <w:rPr>
          <w:rFonts w:ascii="Times New Roman" w:hAnsi="Times New Roman" w:cs="Times New Roman"/>
          <w:sz w:val="24"/>
          <w:szCs w:val="24"/>
        </w:rPr>
        <w:t>this case</w:t>
      </w:r>
      <w:r w:rsidRPr="00AD36D9">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AD36D9">
        <w:rPr>
          <w:rFonts w:ascii="Times New Roman" w:hAnsi="Times New Roman" w:cs="Times New Roman"/>
          <w:sz w:val="24"/>
          <w:szCs w:val="24"/>
        </w:rPr>
        <w:t>mean</w:t>
      </w:r>
      <w:r>
        <w:rPr>
          <w:rFonts w:ascii="Times New Roman" w:hAnsi="Times New Roman" w:cs="Times New Roman"/>
          <w:sz w:val="24"/>
          <w:szCs w:val="24"/>
        </w:rPr>
        <w:t xml:space="preserve"> </w:t>
      </w:r>
      <w:r w:rsidRPr="00AD36D9">
        <w:rPr>
          <w:rFonts w:ascii="Times New Roman" w:hAnsi="Times New Roman" w:cs="Times New Roman"/>
          <w:sz w:val="24"/>
          <w:szCs w:val="24"/>
        </w:rPr>
        <w:t>s</w:t>
      </w:r>
      <w:r>
        <w:rPr>
          <w:rFonts w:ascii="Times New Roman" w:hAnsi="Times New Roman" w:cs="Times New Roman"/>
          <w:sz w:val="24"/>
          <w:szCs w:val="24"/>
        </w:rPr>
        <w:t xml:space="preserve">core for </w:t>
      </w:r>
      <w:r w:rsidR="007518B2">
        <w:rPr>
          <w:rFonts w:ascii="Times New Roman" w:hAnsi="Times New Roman" w:cs="Times New Roman"/>
          <w:sz w:val="24"/>
          <w:szCs w:val="24"/>
        </w:rPr>
        <w:t xml:space="preserve">the </w:t>
      </w:r>
      <w:r w:rsidR="00617BD0">
        <w:rPr>
          <w:rFonts w:ascii="Times New Roman" w:hAnsi="Times New Roman" w:cs="Times New Roman"/>
          <w:sz w:val="24"/>
          <w:szCs w:val="24"/>
        </w:rPr>
        <w:t>participant’s</w:t>
      </w:r>
      <w:r w:rsidR="007518B2">
        <w:rPr>
          <w:rFonts w:ascii="Times New Roman" w:hAnsi="Times New Roman" w:cs="Times New Roman"/>
          <w:sz w:val="24"/>
          <w:szCs w:val="24"/>
        </w:rPr>
        <w:t xml:space="preserve"> responses on items addressing the same source of self-efficacy was </w:t>
      </w:r>
      <w:r w:rsidRPr="00AD36D9">
        <w:rPr>
          <w:rFonts w:ascii="Times New Roman" w:hAnsi="Times New Roman" w:cs="Times New Roman"/>
          <w:sz w:val="24"/>
          <w:szCs w:val="24"/>
        </w:rPr>
        <w:t>used to fill</w:t>
      </w:r>
      <w:r>
        <w:rPr>
          <w:rFonts w:ascii="Times New Roman" w:hAnsi="Times New Roman" w:cs="Times New Roman"/>
          <w:sz w:val="24"/>
          <w:szCs w:val="24"/>
        </w:rPr>
        <w:t>-in</w:t>
      </w:r>
      <w:r w:rsidRPr="00AD36D9">
        <w:rPr>
          <w:rFonts w:ascii="Times New Roman" w:hAnsi="Times New Roman" w:cs="Times New Roman"/>
          <w:sz w:val="24"/>
          <w:szCs w:val="24"/>
        </w:rPr>
        <w:t xml:space="preserve"> </w:t>
      </w:r>
      <w:r w:rsidR="007518B2">
        <w:rPr>
          <w:rFonts w:ascii="Times New Roman" w:hAnsi="Times New Roman" w:cs="Times New Roman"/>
          <w:sz w:val="24"/>
          <w:szCs w:val="24"/>
        </w:rPr>
        <w:t>the unanswered response</w:t>
      </w:r>
      <w:r w:rsidRPr="00AD36D9">
        <w:rPr>
          <w:rFonts w:ascii="Times New Roman" w:hAnsi="Times New Roman" w:cs="Times New Roman"/>
          <w:sz w:val="24"/>
          <w:szCs w:val="24"/>
        </w:rPr>
        <w:t>. Using available data to calculate means is an appropriate way to assure no guessing is required by a researcher</w:t>
      </w:r>
      <w:r w:rsidR="0014055B">
        <w:rPr>
          <w:rFonts w:ascii="Times New Roman" w:hAnsi="Times New Roman" w:cs="Times New Roman"/>
          <w:sz w:val="24"/>
          <w:szCs w:val="24"/>
        </w:rPr>
        <w:t xml:space="preserve">. </w:t>
      </w:r>
      <w:r w:rsidRPr="00AD36D9">
        <w:rPr>
          <w:rFonts w:ascii="Times New Roman" w:hAnsi="Times New Roman" w:cs="Times New Roman"/>
          <w:sz w:val="24"/>
          <w:szCs w:val="24"/>
        </w:rPr>
        <w:t xml:space="preserve">A number of the items in the SOSESC-P </w:t>
      </w:r>
      <w:r w:rsidR="007518B2">
        <w:rPr>
          <w:rFonts w:ascii="Times New Roman" w:hAnsi="Times New Roman" w:cs="Times New Roman"/>
          <w:sz w:val="24"/>
          <w:szCs w:val="24"/>
        </w:rPr>
        <w:t>required reversed scoring</w:t>
      </w:r>
      <w:r w:rsidRPr="00AD36D9">
        <w:rPr>
          <w:rFonts w:ascii="Times New Roman" w:hAnsi="Times New Roman" w:cs="Times New Roman"/>
          <w:sz w:val="24"/>
          <w:szCs w:val="24"/>
        </w:rPr>
        <w:t xml:space="preserve"> so that the highest number on the Likert scale matches up </w:t>
      </w:r>
      <w:r w:rsidRPr="00AD36D9">
        <w:rPr>
          <w:rFonts w:ascii="Times New Roman" w:hAnsi="Times New Roman" w:cs="Times New Roman"/>
          <w:sz w:val="24"/>
          <w:szCs w:val="24"/>
        </w:rPr>
        <w:lastRenderedPageBreak/>
        <w:t>with positive experiences or reflection on student self-efficacy</w:t>
      </w:r>
      <w:r>
        <w:rPr>
          <w:rFonts w:ascii="Times New Roman" w:hAnsi="Times New Roman" w:cs="Times New Roman"/>
          <w:sz w:val="24"/>
          <w:szCs w:val="24"/>
        </w:rPr>
        <w:t xml:space="preserve">. </w:t>
      </w:r>
      <w:r w:rsidRPr="00AD36D9">
        <w:rPr>
          <w:rFonts w:ascii="Times New Roman" w:hAnsi="Times New Roman" w:cs="Times New Roman"/>
          <w:sz w:val="24"/>
          <w:szCs w:val="24"/>
        </w:rPr>
        <w:t xml:space="preserve">Items that </w:t>
      </w:r>
      <w:r w:rsidR="002334A3">
        <w:rPr>
          <w:rFonts w:ascii="Times New Roman" w:hAnsi="Times New Roman" w:cs="Times New Roman"/>
          <w:sz w:val="24"/>
          <w:szCs w:val="24"/>
        </w:rPr>
        <w:t>were</w:t>
      </w:r>
      <w:r w:rsidRPr="00AD36D9">
        <w:rPr>
          <w:rFonts w:ascii="Times New Roman" w:hAnsi="Times New Roman" w:cs="Times New Roman"/>
          <w:sz w:val="24"/>
          <w:szCs w:val="24"/>
        </w:rPr>
        <w:t xml:space="preserve"> reverse scored are indicated in Appendix C. Results from all 33 items </w:t>
      </w:r>
      <w:r w:rsidR="002334A3">
        <w:rPr>
          <w:rFonts w:ascii="Times New Roman" w:hAnsi="Times New Roman" w:cs="Times New Roman"/>
          <w:sz w:val="24"/>
          <w:szCs w:val="24"/>
        </w:rPr>
        <w:t>were</w:t>
      </w:r>
      <w:r w:rsidRPr="00AD36D9">
        <w:rPr>
          <w:rFonts w:ascii="Times New Roman" w:hAnsi="Times New Roman" w:cs="Times New Roman"/>
          <w:sz w:val="24"/>
          <w:szCs w:val="24"/>
        </w:rPr>
        <w:t xml:space="preserve"> used calculate the mean level of self-</w:t>
      </w:r>
      <w:r w:rsidRPr="00647AEC">
        <w:rPr>
          <w:rFonts w:ascii="Times New Roman" w:hAnsi="Times New Roman" w:cs="Times New Roman"/>
          <w:sz w:val="24"/>
          <w:szCs w:val="24"/>
        </w:rPr>
        <w:t xml:space="preserve">efficacy (SE) for each student. Participant responses will also be disaggregated into four subscales that correspond with each of Bandura’s </w:t>
      </w:r>
      <w:r w:rsidR="00BC22AB">
        <w:rPr>
          <w:rFonts w:ascii="Times New Roman" w:hAnsi="Times New Roman" w:cs="Times New Roman"/>
          <w:sz w:val="24"/>
          <w:szCs w:val="24"/>
        </w:rPr>
        <w:t xml:space="preserve">(1977) </w:t>
      </w:r>
      <w:r w:rsidRPr="00647AEC">
        <w:rPr>
          <w:rFonts w:ascii="Times New Roman" w:hAnsi="Times New Roman" w:cs="Times New Roman"/>
          <w:sz w:val="24"/>
          <w:szCs w:val="24"/>
        </w:rPr>
        <w:t xml:space="preserve">four sources of self-efficacy: mastery experiences (ME), vicarious learning (VL), social persuasion (SP), and physiological state (PS) as well as by gender. </w:t>
      </w:r>
    </w:p>
    <w:p w14:paraId="7051A7BE" w14:textId="7CE5487D" w:rsidR="00176C1B" w:rsidRDefault="00176C1B" w:rsidP="00BA4A2D">
      <w:pPr>
        <w:widowControl w:val="0"/>
        <w:spacing w:after="0" w:line="480" w:lineRule="auto"/>
        <w:ind w:firstLine="720"/>
        <w:rPr>
          <w:rFonts w:ascii="Times New Roman" w:hAnsi="Times New Roman" w:cs="Times New Roman"/>
          <w:color w:val="FF0000"/>
          <w:sz w:val="24"/>
          <w:szCs w:val="24"/>
        </w:rPr>
      </w:pPr>
      <w:r>
        <w:rPr>
          <w:rFonts w:ascii="Times New Roman" w:hAnsi="Times New Roman" w:cs="Times New Roman"/>
          <w:sz w:val="24"/>
          <w:szCs w:val="24"/>
        </w:rPr>
        <w:t>T</w:t>
      </w:r>
      <w:r w:rsidRPr="00AD36D9">
        <w:rPr>
          <w:rFonts w:ascii="Times New Roman" w:hAnsi="Times New Roman" w:cs="Times New Roman"/>
          <w:sz w:val="24"/>
          <w:szCs w:val="24"/>
        </w:rPr>
        <w:t xml:space="preserve">o check for multicollinearity among the </w:t>
      </w:r>
      <w:r w:rsidR="00ED5A08">
        <w:rPr>
          <w:rFonts w:ascii="Times New Roman" w:hAnsi="Times New Roman" w:cs="Times New Roman"/>
          <w:sz w:val="24"/>
          <w:szCs w:val="24"/>
        </w:rPr>
        <w:t>six</w:t>
      </w:r>
      <w:r w:rsidRPr="00AD36D9">
        <w:rPr>
          <w:rFonts w:ascii="Times New Roman" w:hAnsi="Times New Roman" w:cs="Times New Roman"/>
          <w:sz w:val="24"/>
          <w:szCs w:val="24"/>
        </w:rPr>
        <w:t xml:space="preserve"> predictor variables</w:t>
      </w:r>
      <w:r w:rsidR="00BC22AB">
        <w:rPr>
          <w:rFonts w:ascii="Times New Roman" w:hAnsi="Times New Roman" w:cs="Times New Roman"/>
          <w:sz w:val="24"/>
          <w:szCs w:val="24"/>
        </w:rPr>
        <w:t>,</w:t>
      </w:r>
      <w:r>
        <w:rPr>
          <w:rFonts w:ascii="Times New Roman" w:hAnsi="Times New Roman" w:cs="Times New Roman"/>
          <w:sz w:val="24"/>
          <w:szCs w:val="24"/>
        </w:rPr>
        <w:t xml:space="preserve"> </w:t>
      </w:r>
      <w:r w:rsidR="00ED5A08">
        <w:rPr>
          <w:rFonts w:ascii="Times New Roman" w:hAnsi="Times New Roman" w:cs="Times New Roman"/>
          <w:sz w:val="24"/>
          <w:szCs w:val="24"/>
        </w:rPr>
        <w:t xml:space="preserve">a </w:t>
      </w:r>
      <w:r w:rsidR="00617BD0">
        <w:rPr>
          <w:rFonts w:ascii="Times New Roman" w:hAnsi="Times New Roman" w:cs="Times New Roman"/>
          <w:sz w:val="24"/>
          <w:szCs w:val="24"/>
        </w:rPr>
        <w:t>preliminary</w:t>
      </w:r>
      <w:r w:rsidR="00ED5A08">
        <w:rPr>
          <w:rFonts w:ascii="Times New Roman" w:hAnsi="Times New Roman" w:cs="Times New Roman"/>
          <w:sz w:val="24"/>
          <w:szCs w:val="24"/>
        </w:rPr>
        <w:t xml:space="preserve"> linear regression was performed with the six predictor variables and the variance inflation factor (VIF) was analyzed. Variables with a VIF approaching a value of </w:t>
      </w:r>
      <w:r w:rsidR="00BC22AB">
        <w:rPr>
          <w:rFonts w:ascii="Times New Roman" w:hAnsi="Times New Roman" w:cs="Times New Roman"/>
          <w:sz w:val="24"/>
          <w:szCs w:val="24"/>
        </w:rPr>
        <w:t xml:space="preserve">10 </w:t>
      </w:r>
      <w:r w:rsidR="00ED5A08">
        <w:rPr>
          <w:rFonts w:ascii="Times New Roman" w:hAnsi="Times New Roman" w:cs="Times New Roman"/>
          <w:sz w:val="24"/>
          <w:szCs w:val="24"/>
        </w:rPr>
        <w:t>indicates</w:t>
      </w:r>
      <w:r w:rsidRPr="00AD36D9">
        <w:rPr>
          <w:rFonts w:ascii="Times New Roman" w:hAnsi="Times New Roman" w:cs="Times New Roman"/>
          <w:sz w:val="24"/>
          <w:szCs w:val="24"/>
        </w:rPr>
        <w:t xml:space="preserve"> multicollinearity </w:t>
      </w:r>
      <w:r w:rsidR="00ED5A08">
        <w:rPr>
          <w:rFonts w:ascii="Times New Roman" w:hAnsi="Times New Roman" w:cs="Times New Roman"/>
          <w:sz w:val="24"/>
          <w:szCs w:val="24"/>
        </w:rPr>
        <w:t xml:space="preserve">and would </w:t>
      </w:r>
      <w:r w:rsidRPr="00AD36D9">
        <w:rPr>
          <w:rFonts w:ascii="Times New Roman" w:hAnsi="Times New Roman" w:cs="Times New Roman"/>
          <w:sz w:val="24"/>
          <w:szCs w:val="24"/>
        </w:rPr>
        <w:t xml:space="preserve">necessitate the combination of predictor variables. If </w:t>
      </w:r>
      <w:r w:rsidR="00ED5A08">
        <w:rPr>
          <w:rFonts w:ascii="Times New Roman" w:hAnsi="Times New Roman" w:cs="Times New Roman"/>
          <w:sz w:val="24"/>
          <w:szCs w:val="24"/>
        </w:rPr>
        <w:t xml:space="preserve">any </w:t>
      </w:r>
      <w:r w:rsidRPr="00AD36D9">
        <w:rPr>
          <w:rFonts w:ascii="Times New Roman" w:hAnsi="Times New Roman" w:cs="Times New Roman"/>
          <w:sz w:val="24"/>
          <w:szCs w:val="24"/>
        </w:rPr>
        <w:t>predictor variables need</w:t>
      </w:r>
      <w:r w:rsidR="00ED5A08">
        <w:rPr>
          <w:rFonts w:ascii="Times New Roman" w:hAnsi="Times New Roman" w:cs="Times New Roman"/>
          <w:sz w:val="24"/>
          <w:szCs w:val="24"/>
        </w:rPr>
        <w:t>ed</w:t>
      </w:r>
      <w:r w:rsidRPr="00AD36D9">
        <w:rPr>
          <w:rFonts w:ascii="Times New Roman" w:hAnsi="Times New Roman" w:cs="Times New Roman"/>
          <w:sz w:val="24"/>
          <w:szCs w:val="24"/>
        </w:rPr>
        <w:t xml:space="preserve"> to be combined, a preliminary linear regression </w:t>
      </w:r>
      <w:r w:rsidR="00ED5A08">
        <w:rPr>
          <w:rFonts w:ascii="Times New Roman" w:hAnsi="Times New Roman" w:cs="Times New Roman"/>
          <w:sz w:val="24"/>
          <w:szCs w:val="24"/>
        </w:rPr>
        <w:t>would</w:t>
      </w:r>
      <w:r w:rsidRPr="00AD36D9">
        <w:rPr>
          <w:rFonts w:ascii="Times New Roman" w:hAnsi="Times New Roman" w:cs="Times New Roman"/>
          <w:sz w:val="24"/>
          <w:szCs w:val="24"/>
        </w:rPr>
        <w:t xml:space="preserve"> again </w:t>
      </w:r>
      <w:r w:rsidR="00ED5A08">
        <w:rPr>
          <w:rFonts w:ascii="Times New Roman" w:hAnsi="Times New Roman" w:cs="Times New Roman"/>
          <w:sz w:val="24"/>
          <w:szCs w:val="24"/>
        </w:rPr>
        <w:t>have been</w:t>
      </w:r>
      <w:r w:rsidRPr="00AD36D9">
        <w:rPr>
          <w:rFonts w:ascii="Times New Roman" w:hAnsi="Times New Roman" w:cs="Times New Roman"/>
          <w:sz w:val="24"/>
          <w:szCs w:val="24"/>
        </w:rPr>
        <w:t xml:space="preserve"> conducted. </w:t>
      </w:r>
      <w:r w:rsidR="00ED5A08">
        <w:rPr>
          <w:rFonts w:ascii="Times New Roman" w:hAnsi="Times New Roman" w:cs="Times New Roman"/>
          <w:sz w:val="24"/>
          <w:szCs w:val="24"/>
        </w:rPr>
        <w:t xml:space="preserve">Identification of outlier cases required the calculation of the Mahalanobis distance for all cases. </w:t>
      </w:r>
      <w:r w:rsidRPr="00AD36D9">
        <w:rPr>
          <w:rFonts w:ascii="Times New Roman" w:hAnsi="Times New Roman" w:cs="Times New Roman"/>
          <w:sz w:val="24"/>
          <w:szCs w:val="24"/>
        </w:rPr>
        <w:t xml:space="preserve">Any cases where the chi-square criteria </w:t>
      </w:r>
      <w:r w:rsidR="00ED5A08">
        <w:rPr>
          <w:rFonts w:ascii="Times New Roman" w:hAnsi="Times New Roman" w:cs="Times New Roman"/>
          <w:sz w:val="24"/>
          <w:szCs w:val="24"/>
        </w:rPr>
        <w:t>was</w:t>
      </w:r>
      <w:r w:rsidRPr="00AD36D9">
        <w:rPr>
          <w:rFonts w:ascii="Times New Roman" w:hAnsi="Times New Roman" w:cs="Times New Roman"/>
          <w:sz w:val="24"/>
          <w:szCs w:val="24"/>
        </w:rPr>
        <w:t xml:space="preserve"> exceede</w:t>
      </w:r>
      <w:r w:rsidR="00ED5A08">
        <w:rPr>
          <w:rFonts w:ascii="Times New Roman" w:hAnsi="Times New Roman" w:cs="Times New Roman"/>
          <w:sz w:val="24"/>
          <w:szCs w:val="24"/>
        </w:rPr>
        <w:t>d were</w:t>
      </w:r>
      <w:r w:rsidRPr="00AD36D9">
        <w:rPr>
          <w:rFonts w:ascii="Times New Roman" w:hAnsi="Times New Roman" w:cs="Times New Roman"/>
          <w:sz w:val="24"/>
          <w:szCs w:val="24"/>
        </w:rPr>
        <w:t xml:space="preserve"> eliminated</w:t>
      </w:r>
      <w:r w:rsidR="00ED5A08">
        <w:rPr>
          <w:rFonts w:ascii="Times New Roman" w:hAnsi="Times New Roman" w:cs="Times New Roman"/>
          <w:sz w:val="24"/>
          <w:szCs w:val="24"/>
        </w:rPr>
        <w:t xml:space="preserve">. Logistic regression models are particularly susceptible to </w:t>
      </w:r>
      <w:r w:rsidRPr="00AD36D9">
        <w:rPr>
          <w:rFonts w:ascii="Times New Roman" w:hAnsi="Times New Roman" w:cs="Times New Roman"/>
          <w:sz w:val="24"/>
          <w:szCs w:val="24"/>
        </w:rPr>
        <w:t>outlier cases (Mertler &amp; Vannatta, 2013).</w:t>
      </w:r>
      <w:r w:rsidRPr="00AD36D9">
        <w:rPr>
          <w:rFonts w:ascii="Times New Roman" w:hAnsi="Times New Roman" w:cs="Times New Roman"/>
          <w:color w:val="FF0000"/>
          <w:sz w:val="24"/>
          <w:szCs w:val="24"/>
        </w:rPr>
        <w:t xml:space="preserve"> </w:t>
      </w:r>
    </w:p>
    <w:p w14:paraId="079D0B5A" w14:textId="031AD382" w:rsidR="00176C1B" w:rsidRPr="00E10013" w:rsidRDefault="00176C1B" w:rsidP="00BA4A2D">
      <w:pPr>
        <w:widowControl w:val="0"/>
        <w:spacing w:after="0" w:line="480" w:lineRule="auto"/>
        <w:ind w:firstLine="720"/>
        <w:rPr>
          <w:rFonts w:ascii="Times New Roman" w:hAnsi="Times New Roman" w:cs="Times New Roman"/>
          <w:sz w:val="24"/>
          <w:szCs w:val="24"/>
        </w:rPr>
      </w:pPr>
      <w:r w:rsidRPr="00E10013">
        <w:rPr>
          <w:rFonts w:ascii="Times New Roman" w:hAnsi="Times New Roman" w:cs="Times New Roman"/>
          <w:sz w:val="24"/>
          <w:szCs w:val="24"/>
        </w:rPr>
        <w:t xml:space="preserve">As the study seeks to determine what impact, if any, several predictor variables have on a binary outcome of one’s decision to enroll or not enroll in a second year of high school physics, logistic regression </w:t>
      </w:r>
      <w:r w:rsidR="00ED5A08">
        <w:rPr>
          <w:rFonts w:ascii="Times New Roman" w:hAnsi="Times New Roman" w:cs="Times New Roman"/>
          <w:sz w:val="24"/>
          <w:szCs w:val="24"/>
        </w:rPr>
        <w:t>was</w:t>
      </w:r>
      <w:r w:rsidRPr="00E10013">
        <w:rPr>
          <w:rFonts w:ascii="Times New Roman" w:hAnsi="Times New Roman" w:cs="Times New Roman"/>
          <w:sz w:val="24"/>
          <w:szCs w:val="24"/>
        </w:rPr>
        <w:t xml:space="preserve"> conducted. Logistic regression provides flexibility because the predictor variables do not need to be normally distributed, linearly related, or have equal variances between groups. Logistic regression does require a lack of multicollinearity among predictor variables (Mertler &amp; Vannatta, 2013). </w:t>
      </w:r>
    </w:p>
    <w:p w14:paraId="2EC941C1" w14:textId="65FC3DA7" w:rsidR="00176C1B" w:rsidRPr="00E10013" w:rsidRDefault="00176C1B" w:rsidP="00BA4A2D">
      <w:pPr>
        <w:widowControl w:val="0"/>
        <w:spacing w:after="0" w:line="480" w:lineRule="auto"/>
        <w:rPr>
          <w:rFonts w:ascii="Times New Roman" w:hAnsi="Times New Roman" w:cs="Times New Roman"/>
          <w:sz w:val="24"/>
          <w:szCs w:val="24"/>
        </w:rPr>
      </w:pPr>
      <w:r w:rsidRPr="00E10013">
        <w:rPr>
          <w:rFonts w:ascii="Times New Roman" w:hAnsi="Times New Roman" w:cs="Times New Roman"/>
          <w:sz w:val="24"/>
          <w:szCs w:val="24"/>
        </w:rPr>
        <w:tab/>
        <w:t xml:space="preserve">In technical terms, logistic regression seeks to identify the chance or likelihood of an event occurring with the odds ranging from 1 (will happen) to 0 (will not happen). The odds ratio looks at how a specific predictor variable changes this likelihood. In logistic regression analysis, </w:t>
      </w:r>
      <w:r w:rsidRPr="00E10013">
        <w:rPr>
          <w:rFonts w:ascii="Times New Roman" w:hAnsi="Times New Roman" w:cs="Times New Roman"/>
          <w:sz w:val="24"/>
          <w:szCs w:val="24"/>
        </w:rPr>
        <w:lastRenderedPageBreak/>
        <w:t>the odds ratio is defined as the probability that an event will happen (</w:t>
      </w:r>
      <w:r w:rsidRPr="00E10013">
        <w:rPr>
          <w:rFonts w:ascii="Times New Roman" w:hAnsi="Times New Roman" w:cs="Times New Roman"/>
          <w:i/>
          <w:sz w:val="24"/>
          <w:szCs w:val="24"/>
        </w:rPr>
        <w:t>P</w:t>
      </w:r>
      <w:r w:rsidRPr="00E10013">
        <w:rPr>
          <w:rFonts w:ascii="Times New Roman" w:hAnsi="Times New Roman" w:cs="Times New Roman"/>
          <w:sz w:val="24"/>
          <w:szCs w:val="24"/>
        </w:rPr>
        <w:t>) divided by the probability that and event will not happen (1-</w:t>
      </w:r>
      <w:r w:rsidRPr="00E10013">
        <w:rPr>
          <w:rFonts w:ascii="Times New Roman" w:hAnsi="Times New Roman" w:cs="Times New Roman"/>
          <w:i/>
          <w:sz w:val="24"/>
          <w:szCs w:val="24"/>
        </w:rPr>
        <w:t>P</w:t>
      </w:r>
      <w:r w:rsidRPr="00E10013">
        <w:rPr>
          <w:rFonts w:ascii="Times New Roman" w:hAnsi="Times New Roman" w:cs="Times New Roman"/>
          <w:sz w:val="24"/>
          <w:szCs w:val="24"/>
        </w:rPr>
        <w:t>). The linear regression equation in binomial logistic regression is defined as the natural log of the odds ratio. This equation is referred to as the logit or log of the odds</w:t>
      </w:r>
      <w:r w:rsidR="006759A3">
        <w:rPr>
          <w:rFonts w:ascii="Times New Roman" w:hAnsi="Times New Roman" w:cs="Times New Roman"/>
          <w:sz w:val="24"/>
          <w:szCs w:val="24"/>
        </w:rPr>
        <w:t>:</w:t>
      </w:r>
      <w:r w:rsidRPr="00E10013">
        <w:rPr>
          <w:rFonts w:ascii="Times New Roman" w:hAnsi="Times New Roman" w:cs="Times New Roman"/>
          <w:sz w:val="24"/>
          <w:szCs w:val="24"/>
        </w:rPr>
        <w:t xml:space="preserve"> </w:t>
      </w:r>
    </w:p>
    <w:p w14:paraId="79EC5C95" w14:textId="77777777" w:rsidR="00176C1B" w:rsidRPr="00E2183D" w:rsidRDefault="00176C1B" w:rsidP="00BA4A2D">
      <w:pPr>
        <w:widowControl w:val="0"/>
        <w:spacing w:after="0" w:line="240" w:lineRule="auto"/>
        <w:ind w:firstLine="720"/>
        <w:jc w:val="center"/>
        <w:rPr>
          <w:rFonts w:ascii="Times New Roman" w:hAnsi="Times New Roman" w:cs="Times New Roman"/>
          <w:color w:val="FF0000"/>
          <w:sz w:val="24"/>
          <w:szCs w:val="24"/>
        </w:rPr>
      </w:pPr>
      <w:r>
        <w:rPr>
          <w:rFonts w:ascii="Times New Roman" w:hAnsi="Times New Roman" w:cs="Times New Roman"/>
          <w:noProof/>
          <w:color w:val="FF0000"/>
          <w:sz w:val="24"/>
          <w:szCs w:val="24"/>
        </w:rPr>
        <mc:AlternateContent>
          <mc:Choice Requires="wps">
            <w:drawing>
              <wp:anchor distT="0" distB="0" distL="114300" distR="114300" simplePos="0" relativeHeight="251659776" behindDoc="0" locked="0" layoutInCell="1" allowOverlap="1" wp14:anchorId="4BE20913" wp14:editId="39830B4C">
                <wp:simplePos x="0" y="0"/>
                <wp:positionH relativeFrom="column">
                  <wp:posOffset>5043268</wp:posOffset>
                </wp:positionH>
                <wp:positionV relativeFrom="paragraph">
                  <wp:posOffset>337625</wp:posOffset>
                </wp:positionV>
                <wp:extent cx="464234" cy="358726"/>
                <wp:effectExtent l="0" t="0" r="0" b="3810"/>
                <wp:wrapNone/>
                <wp:docPr id="16" name="Text Box 16"/>
                <wp:cNvGraphicFramePr/>
                <a:graphic xmlns:a="http://schemas.openxmlformats.org/drawingml/2006/main">
                  <a:graphicData uri="http://schemas.microsoft.com/office/word/2010/wordprocessingShape">
                    <wps:wsp>
                      <wps:cNvSpPr txBox="1"/>
                      <wps:spPr>
                        <a:xfrm>
                          <a:off x="0" y="0"/>
                          <a:ext cx="464234" cy="358726"/>
                        </a:xfrm>
                        <a:prstGeom prst="rect">
                          <a:avLst/>
                        </a:prstGeom>
                        <a:solidFill>
                          <a:schemeClr val="lt1"/>
                        </a:solidFill>
                        <a:ln w="6350">
                          <a:noFill/>
                        </a:ln>
                      </wps:spPr>
                      <wps:txbx>
                        <w:txbxContent>
                          <w:p w14:paraId="02A1BEB3" w14:textId="77777777" w:rsidR="00806BF7" w:rsidRDefault="00806BF7" w:rsidP="00176C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20913" id="_x0000_t202" coordsize="21600,21600" o:spt="202" path="m,l,21600r21600,l21600,xe">
                <v:stroke joinstyle="miter"/>
                <v:path gradientshapeok="t" o:connecttype="rect"/>
              </v:shapetype>
              <v:shape id="Text Box 16" o:spid="_x0000_s1026" type="#_x0000_t202" style="position:absolute;left:0;text-align:left;margin-left:397.1pt;margin-top:26.6pt;width:36.55pt;height:28.2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" fillcolor="white [3201]" stroked="f" strokeweight=".5pt">
                <v:textbox>
                  <w:txbxContent>
                    <w:p w14:paraId="02A1BEB3" w14:textId="77777777" w:rsidR="00806BF7" w:rsidRDefault="00806BF7" w:rsidP="00176C1B"/>
                  </w:txbxContent>
                </v:textbox>
              </v:shape>
            </w:pict>
          </mc:Fallback>
        </mc:AlternateContent>
      </w:r>
      <w:r w:rsidRPr="00E2183D">
        <w:rPr>
          <w:rFonts w:ascii="Times New Roman" w:hAnsi="Times New Roman" w:cs="Times New Roman"/>
          <w:noProof/>
          <w:color w:val="FF0000"/>
          <w:sz w:val="24"/>
          <w:szCs w:val="24"/>
        </w:rPr>
        <w:drawing>
          <wp:inline distT="0" distB="0" distL="0" distR="0" wp14:anchorId="735543F0" wp14:editId="291C4C85">
            <wp:extent cx="3854648" cy="93349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54648" cy="933498"/>
                    </a:xfrm>
                    <a:prstGeom prst="rect">
                      <a:avLst/>
                    </a:prstGeom>
                  </pic:spPr>
                </pic:pic>
              </a:graphicData>
            </a:graphic>
          </wp:inline>
        </w:drawing>
      </w:r>
    </w:p>
    <w:p w14:paraId="7BA8A74D" w14:textId="711BD927" w:rsidR="00176C1B" w:rsidRPr="00E10013" w:rsidRDefault="00176C1B" w:rsidP="00BA4A2D">
      <w:pPr>
        <w:widowControl w:val="0"/>
        <w:spacing w:after="0" w:line="480" w:lineRule="auto"/>
        <w:ind w:firstLine="720"/>
        <w:rPr>
          <w:rFonts w:ascii="Times New Roman" w:hAnsi="Times New Roman" w:cs="Times New Roman"/>
          <w:sz w:val="24"/>
          <w:szCs w:val="24"/>
        </w:rPr>
      </w:pPr>
      <w:r w:rsidRPr="00E10013">
        <w:rPr>
          <w:rFonts w:ascii="Times New Roman" w:hAnsi="Times New Roman" w:cs="Times New Roman"/>
          <w:sz w:val="24"/>
          <w:szCs w:val="24"/>
        </w:rPr>
        <w:t xml:space="preserve">For this study, </w:t>
      </w:r>
      <w:r w:rsidRPr="00E10013">
        <w:rPr>
          <w:rFonts w:ascii="Times New Roman" w:hAnsi="Times New Roman" w:cs="Times New Roman"/>
          <w:i/>
          <w:sz w:val="24"/>
          <w:szCs w:val="24"/>
        </w:rPr>
        <w:t>P</w:t>
      </w:r>
      <w:r w:rsidRPr="00E10013">
        <w:rPr>
          <w:rFonts w:ascii="Times New Roman" w:hAnsi="Times New Roman" w:cs="Times New Roman"/>
          <w:sz w:val="24"/>
          <w:szCs w:val="24"/>
        </w:rPr>
        <w:t xml:space="preserve"> represents the probability that a student enrolls in a second year of high school physics. Each of the main independent variables, Bandura’s </w:t>
      </w:r>
      <w:r w:rsidR="00BC22AB">
        <w:rPr>
          <w:rFonts w:ascii="Times New Roman" w:hAnsi="Times New Roman" w:cs="Times New Roman"/>
          <w:sz w:val="24"/>
          <w:szCs w:val="24"/>
        </w:rPr>
        <w:t xml:space="preserve">(1977) </w:t>
      </w:r>
      <w:r w:rsidRPr="00E10013">
        <w:rPr>
          <w:rFonts w:ascii="Times New Roman" w:hAnsi="Times New Roman" w:cs="Times New Roman"/>
          <w:sz w:val="24"/>
          <w:szCs w:val="24"/>
        </w:rPr>
        <w:t xml:space="preserve">four sources of self-efficacy coupled with the controls, are represented by the </w:t>
      </w:r>
      <w:r w:rsidRPr="00E10013">
        <w:rPr>
          <w:rFonts w:ascii="Times New Roman" w:hAnsi="Times New Roman" w:cs="Times New Roman"/>
          <w:i/>
          <w:sz w:val="24"/>
          <w:szCs w:val="24"/>
        </w:rPr>
        <w:t>X</w:t>
      </w:r>
      <w:r w:rsidRPr="00E10013">
        <w:rPr>
          <w:rFonts w:ascii="Times New Roman" w:hAnsi="Times New Roman" w:cs="Times New Roman"/>
          <w:sz w:val="24"/>
          <w:szCs w:val="24"/>
        </w:rPr>
        <w:t xml:space="preserve"> terms (</w:t>
      </w:r>
      <w:r w:rsidRPr="00E10013">
        <w:rPr>
          <w:rFonts w:ascii="Times New Roman" w:hAnsi="Times New Roman" w:cs="Times New Roman"/>
          <w:i/>
          <w:sz w:val="24"/>
          <w:szCs w:val="24"/>
        </w:rPr>
        <w:t>X</w:t>
      </w:r>
      <w:r w:rsidRPr="00E10013">
        <w:rPr>
          <w:rFonts w:ascii="Times New Roman" w:hAnsi="Times New Roman" w:cs="Times New Roman"/>
          <w:i/>
          <w:sz w:val="24"/>
          <w:szCs w:val="24"/>
          <w:vertAlign w:val="subscript"/>
        </w:rPr>
        <w:t>1</w:t>
      </w:r>
      <w:r w:rsidRPr="00E10013">
        <w:rPr>
          <w:rFonts w:ascii="Times New Roman" w:hAnsi="Times New Roman" w:cs="Times New Roman"/>
          <w:i/>
          <w:sz w:val="24"/>
          <w:szCs w:val="24"/>
        </w:rPr>
        <w:t>, X</w:t>
      </w:r>
      <w:r w:rsidRPr="00E10013">
        <w:rPr>
          <w:rFonts w:ascii="Times New Roman" w:hAnsi="Times New Roman" w:cs="Times New Roman"/>
          <w:i/>
          <w:sz w:val="24"/>
          <w:szCs w:val="24"/>
          <w:vertAlign w:val="subscript"/>
        </w:rPr>
        <w:t>2</w:t>
      </w:r>
      <w:r w:rsidRPr="00E10013">
        <w:rPr>
          <w:rFonts w:ascii="Times New Roman" w:hAnsi="Times New Roman" w:cs="Times New Roman"/>
          <w:sz w:val="24"/>
          <w:szCs w:val="24"/>
        </w:rPr>
        <w:t xml:space="preserve">, etc.). The </w:t>
      </w:r>
      <w:r w:rsidRPr="00E10013">
        <w:rPr>
          <w:rFonts w:ascii="Times New Roman" w:hAnsi="Times New Roman" w:cs="Times New Roman"/>
          <w:i/>
          <w:sz w:val="24"/>
          <w:szCs w:val="24"/>
        </w:rPr>
        <w:t>β</w:t>
      </w:r>
      <w:r w:rsidRPr="00E10013">
        <w:rPr>
          <w:rFonts w:ascii="Times New Roman" w:hAnsi="Times New Roman" w:cs="Times New Roman"/>
          <w:sz w:val="24"/>
          <w:szCs w:val="24"/>
        </w:rPr>
        <w:t xml:space="preserve"> values are coefficients to each independent variable used to calculate the logit. An odds ratio greater than 1 indicates that the predictor variable increases the likelihood of the event happing while a value less than 1 implies less likelihood of the event occurring due to a predictor variable while keeping all other dependent variables constant (Mertler &amp; Vannatta, 2013). </w:t>
      </w:r>
    </w:p>
    <w:p w14:paraId="102739D3" w14:textId="761FBEDB" w:rsidR="00176C1B" w:rsidRDefault="00176C1B" w:rsidP="00BA4A2D">
      <w:pPr>
        <w:widowControl w:val="0"/>
        <w:spacing w:after="0" w:line="480" w:lineRule="auto"/>
        <w:rPr>
          <w:rFonts w:ascii="Times New Roman" w:hAnsi="Times New Roman" w:cs="Times New Roman"/>
          <w:sz w:val="24"/>
          <w:szCs w:val="24"/>
        </w:rPr>
      </w:pPr>
      <w:r w:rsidRPr="00E2183D">
        <w:rPr>
          <w:rFonts w:ascii="Times New Roman" w:hAnsi="Times New Roman" w:cs="Times New Roman"/>
          <w:sz w:val="24"/>
          <w:szCs w:val="24"/>
        </w:rPr>
        <w:tab/>
      </w:r>
      <w:r w:rsidRPr="00647AEC">
        <w:rPr>
          <w:rFonts w:ascii="Times New Roman" w:hAnsi="Times New Roman" w:cs="Times New Roman"/>
          <w:sz w:val="24"/>
          <w:szCs w:val="24"/>
        </w:rPr>
        <w:t>In this study</w:t>
      </w:r>
      <w:r w:rsidR="00ED5A08" w:rsidRPr="00647AEC">
        <w:rPr>
          <w:rFonts w:ascii="Times New Roman" w:hAnsi="Times New Roman" w:cs="Times New Roman"/>
          <w:sz w:val="24"/>
          <w:szCs w:val="24"/>
        </w:rPr>
        <w:t>,</w:t>
      </w:r>
      <w:r w:rsidRPr="00647AEC">
        <w:rPr>
          <w:rFonts w:ascii="Times New Roman" w:hAnsi="Times New Roman" w:cs="Times New Roman"/>
          <w:sz w:val="24"/>
          <w:szCs w:val="24"/>
        </w:rPr>
        <w:t xml:space="preserve"> models </w:t>
      </w:r>
      <w:r w:rsidR="004467D9" w:rsidRPr="00647AEC">
        <w:rPr>
          <w:rFonts w:ascii="Times New Roman" w:hAnsi="Times New Roman" w:cs="Times New Roman"/>
          <w:sz w:val="24"/>
          <w:szCs w:val="24"/>
        </w:rPr>
        <w:t>control</w:t>
      </w:r>
      <w:r w:rsidR="004467D9">
        <w:rPr>
          <w:rFonts w:ascii="Times New Roman" w:hAnsi="Times New Roman" w:cs="Times New Roman"/>
          <w:sz w:val="24"/>
          <w:szCs w:val="24"/>
        </w:rPr>
        <w:t>led</w:t>
      </w:r>
      <w:r w:rsidRPr="00647AEC">
        <w:rPr>
          <w:rFonts w:ascii="Times New Roman" w:hAnsi="Times New Roman" w:cs="Times New Roman"/>
          <w:sz w:val="24"/>
          <w:szCs w:val="24"/>
        </w:rPr>
        <w:t xml:space="preserve"> for physics knowledge</w:t>
      </w:r>
      <w:r w:rsidR="00ED5A08" w:rsidRPr="00647AEC">
        <w:rPr>
          <w:rFonts w:ascii="Times New Roman" w:hAnsi="Times New Roman" w:cs="Times New Roman"/>
          <w:sz w:val="24"/>
          <w:szCs w:val="24"/>
        </w:rPr>
        <w:t xml:space="preserve"> growth</w:t>
      </w:r>
      <w:r w:rsidRPr="00647AEC">
        <w:rPr>
          <w:rFonts w:ascii="Times New Roman" w:hAnsi="Times New Roman" w:cs="Times New Roman"/>
          <w:sz w:val="24"/>
          <w:szCs w:val="24"/>
        </w:rPr>
        <w:t xml:space="preserve"> (PK</w:t>
      </w:r>
      <w:r w:rsidR="00ED5A08" w:rsidRPr="00647AEC">
        <w:rPr>
          <w:rFonts w:ascii="Times New Roman" w:hAnsi="Times New Roman" w:cs="Times New Roman"/>
          <w:sz w:val="24"/>
          <w:szCs w:val="24"/>
        </w:rPr>
        <w:t>G</w:t>
      </w:r>
      <w:r w:rsidRPr="00647AEC">
        <w:rPr>
          <w:rFonts w:ascii="Times New Roman" w:hAnsi="Times New Roman" w:cs="Times New Roman"/>
          <w:sz w:val="24"/>
          <w:szCs w:val="24"/>
        </w:rPr>
        <w:t>) and semester one grade (S1G</w:t>
      </w:r>
      <w:r w:rsidR="00ED5A08" w:rsidRPr="00647AEC">
        <w:rPr>
          <w:rFonts w:ascii="Times New Roman" w:hAnsi="Times New Roman" w:cs="Times New Roman"/>
          <w:sz w:val="24"/>
          <w:szCs w:val="24"/>
        </w:rPr>
        <w:t>)</w:t>
      </w:r>
      <w:r w:rsidRPr="00647AEC">
        <w:rPr>
          <w:rFonts w:ascii="Times New Roman" w:hAnsi="Times New Roman" w:cs="Times New Roman"/>
          <w:sz w:val="24"/>
          <w:szCs w:val="24"/>
        </w:rPr>
        <w:t xml:space="preserve">. Bandura’s </w:t>
      </w:r>
      <w:r w:rsidR="006759A3">
        <w:rPr>
          <w:rFonts w:ascii="Times New Roman" w:hAnsi="Times New Roman" w:cs="Times New Roman"/>
          <w:sz w:val="24"/>
          <w:szCs w:val="24"/>
        </w:rPr>
        <w:t xml:space="preserve">(1977) </w:t>
      </w:r>
      <w:r w:rsidRPr="00647AEC">
        <w:rPr>
          <w:rFonts w:ascii="Times New Roman" w:hAnsi="Times New Roman" w:cs="Times New Roman"/>
          <w:sz w:val="24"/>
          <w:szCs w:val="24"/>
        </w:rPr>
        <w:t>four components of self</w:t>
      </w:r>
      <w:r w:rsidRPr="001050CC">
        <w:rPr>
          <w:rFonts w:ascii="Times New Roman" w:hAnsi="Times New Roman" w:cs="Times New Roman"/>
          <w:sz w:val="24"/>
          <w:szCs w:val="24"/>
        </w:rPr>
        <w:t xml:space="preserve">-efficacy </w:t>
      </w:r>
      <w:r w:rsidR="00ED5A08">
        <w:rPr>
          <w:rFonts w:ascii="Times New Roman" w:hAnsi="Times New Roman" w:cs="Times New Roman"/>
          <w:sz w:val="24"/>
          <w:szCs w:val="24"/>
        </w:rPr>
        <w:t>were then</w:t>
      </w:r>
      <w:r w:rsidRPr="001050CC">
        <w:rPr>
          <w:rFonts w:ascii="Times New Roman" w:hAnsi="Times New Roman" w:cs="Times New Roman"/>
          <w:sz w:val="24"/>
          <w:szCs w:val="24"/>
        </w:rPr>
        <w:t xml:space="preserve"> used to explore the impact of self-efficacy on student enrollment decisions</w:t>
      </w:r>
      <w:r>
        <w:rPr>
          <w:rFonts w:ascii="Times New Roman" w:hAnsi="Times New Roman" w:cs="Times New Roman"/>
          <w:sz w:val="24"/>
          <w:szCs w:val="24"/>
        </w:rPr>
        <w:t xml:space="preserve"> by all participants</w:t>
      </w:r>
      <w:r w:rsidRPr="001050CC">
        <w:rPr>
          <w:rFonts w:ascii="Times New Roman" w:hAnsi="Times New Roman" w:cs="Times New Roman"/>
          <w:sz w:val="24"/>
          <w:szCs w:val="24"/>
        </w:rPr>
        <w:t xml:space="preserve"> and address research question one. Answering </w:t>
      </w:r>
      <w:r w:rsidR="00647AEC">
        <w:rPr>
          <w:rFonts w:ascii="Times New Roman" w:hAnsi="Times New Roman" w:cs="Times New Roman"/>
          <w:sz w:val="24"/>
          <w:szCs w:val="24"/>
        </w:rPr>
        <w:t xml:space="preserve">research questions </w:t>
      </w:r>
      <w:r>
        <w:rPr>
          <w:rFonts w:ascii="Times New Roman" w:hAnsi="Times New Roman" w:cs="Times New Roman"/>
          <w:sz w:val="24"/>
          <w:szCs w:val="24"/>
        </w:rPr>
        <w:t>#2</w:t>
      </w:r>
      <w:r w:rsidR="00ED5A08">
        <w:rPr>
          <w:rFonts w:ascii="Times New Roman" w:hAnsi="Times New Roman" w:cs="Times New Roman"/>
          <w:sz w:val="24"/>
          <w:szCs w:val="24"/>
        </w:rPr>
        <w:t xml:space="preserve"> followed</w:t>
      </w:r>
      <w:r w:rsidRPr="001050CC">
        <w:rPr>
          <w:rFonts w:ascii="Times New Roman" w:hAnsi="Times New Roman" w:cs="Times New Roman"/>
          <w:sz w:val="24"/>
          <w:szCs w:val="24"/>
        </w:rPr>
        <w:t xml:space="preserve"> the process of developing a control variable only model and then the addition of Bandura’s four sources of self-efficacy</w:t>
      </w:r>
      <w:r>
        <w:rPr>
          <w:rFonts w:ascii="Times New Roman" w:hAnsi="Times New Roman" w:cs="Times New Roman"/>
          <w:sz w:val="24"/>
          <w:szCs w:val="24"/>
        </w:rPr>
        <w:t xml:space="preserve">, as with </w:t>
      </w:r>
      <w:r w:rsidR="00647AEC">
        <w:rPr>
          <w:rFonts w:ascii="Times New Roman" w:hAnsi="Times New Roman" w:cs="Times New Roman"/>
          <w:sz w:val="24"/>
          <w:szCs w:val="24"/>
        </w:rPr>
        <w:t xml:space="preserve">research question </w:t>
      </w:r>
      <w:r>
        <w:rPr>
          <w:rFonts w:ascii="Times New Roman" w:hAnsi="Times New Roman" w:cs="Times New Roman"/>
          <w:sz w:val="24"/>
          <w:szCs w:val="24"/>
        </w:rPr>
        <w:t>#1</w:t>
      </w:r>
      <w:r w:rsidRPr="001050CC">
        <w:rPr>
          <w:rFonts w:ascii="Times New Roman" w:hAnsi="Times New Roman" w:cs="Times New Roman"/>
          <w:sz w:val="24"/>
          <w:szCs w:val="24"/>
        </w:rPr>
        <w:t xml:space="preserve">. However, this time two separate models </w:t>
      </w:r>
      <w:r w:rsidR="00ED5A08">
        <w:rPr>
          <w:rFonts w:ascii="Times New Roman" w:hAnsi="Times New Roman" w:cs="Times New Roman"/>
          <w:sz w:val="24"/>
          <w:szCs w:val="24"/>
        </w:rPr>
        <w:t>were</w:t>
      </w:r>
      <w:r w:rsidRPr="001050CC">
        <w:rPr>
          <w:rFonts w:ascii="Times New Roman" w:hAnsi="Times New Roman" w:cs="Times New Roman"/>
          <w:sz w:val="24"/>
          <w:szCs w:val="24"/>
        </w:rPr>
        <w:t xml:space="preserve"> explored. </w:t>
      </w:r>
      <w:r>
        <w:rPr>
          <w:rFonts w:ascii="Times New Roman" w:hAnsi="Times New Roman" w:cs="Times New Roman"/>
          <w:sz w:val="24"/>
          <w:szCs w:val="24"/>
        </w:rPr>
        <w:t>The first</w:t>
      </w:r>
      <w:r w:rsidRPr="001050CC">
        <w:rPr>
          <w:rFonts w:ascii="Times New Roman" w:hAnsi="Times New Roman" w:cs="Times New Roman"/>
          <w:sz w:val="24"/>
          <w:szCs w:val="24"/>
        </w:rPr>
        <w:t xml:space="preserve"> model include</w:t>
      </w:r>
      <w:r w:rsidR="00ED5A08">
        <w:rPr>
          <w:rFonts w:ascii="Times New Roman" w:hAnsi="Times New Roman" w:cs="Times New Roman"/>
          <w:sz w:val="24"/>
          <w:szCs w:val="24"/>
        </w:rPr>
        <w:t>d</w:t>
      </w:r>
      <w:r w:rsidRPr="001050CC">
        <w:rPr>
          <w:rFonts w:ascii="Times New Roman" w:hAnsi="Times New Roman" w:cs="Times New Roman"/>
          <w:sz w:val="24"/>
          <w:szCs w:val="24"/>
        </w:rPr>
        <w:t xml:space="preserve"> only women</w:t>
      </w:r>
      <w:r>
        <w:rPr>
          <w:rFonts w:ascii="Times New Roman" w:hAnsi="Times New Roman" w:cs="Times New Roman"/>
          <w:sz w:val="24"/>
          <w:szCs w:val="24"/>
        </w:rPr>
        <w:t>,</w:t>
      </w:r>
      <w:r w:rsidRPr="001050CC">
        <w:rPr>
          <w:rFonts w:ascii="Times New Roman" w:hAnsi="Times New Roman" w:cs="Times New Roman"/>
          <w:sz w:val="24"/>
          <w:szCs w:val="24"/>
        </w:rPr>
        <w:t xml:space="preserve"> and </w:t>
      </w:r>
      <w:r>
        <w:rPr>
          <w:rFonts w:ascii="Times New Roman" w:hAnsi="Times New Roman" w:cs="Times New Roman"/>
          <w:sz w:val="24"/>
          <w:szCs w:val="24"/>
        </w:rPr>
        <w:t>the second</w:t>
      </w:r>
      <w:r w:rsidRPr="001050CC">
        <w:rPr>
          <w:rFonts w:ascii="Times New Roman" w:hAnsi="Times New Roman" w:cs="Times New Roman"/>
          <w:sz w:val="24"/>
          <w:szCs w:val="24"/>
        </w:rPr>
        <w:t xml:space="preserve"> model include</w:t>
      </w:r>
      <w:r w:rsidR="00ED5A08">
        <w:rPr>
          <w:rFonts w:ascii="Times New Roman" w:hAnsi="Times New Roman" w:cs="Times New Roman"/>
          <w:sz w:val="24"/>
          <w:szCs w:val="24"/>
        </w:rPr>
        <w:t>d</w:t>
      </w:r>
      <w:r w:rsidRPr="001050CC">
        <w:rPr>
          <w:rFonts w:ascii="Times New Roman" w:hAnsi="Times New Roman" w:cs="Times New Roman"/>
          <w:sz w:val="24"/>
          <w:szCs w:val="24"/>
        </w:rPr>
        <w:t xml:space="preserve"> only men. The results of the two models </w:t>
      </w:r>
      <w:r w:rsidR="00ED5A08">
        <w:rPr>
          <w:rFonts w:ascii="Times New Roman" w:hAnsi="Times New Roman" w:cs="Times New Roman"/>
          <w:sz w:val="24"/>
          <w:szCs w:val="24"/>
        </w:rPr>
        <w:t>were</w:t>
      </w:r>
      <w:r w:rsidRPr="001050CC">
        <w:rPr>
          <w:rFonts w:ascii="Times New Roman" w:hAnsi="Times New Roman" w:cs="Times New Roman"/>
          <w:sz w:val="24"/>
          <w:szCs w:val="24"/>
        </w:rPr>
        <w:t xml:space="preserve"> compared to determine if there are differences in the components</w:t>
      </w:r>
      <w:r>
        <w:rPr>
          <w:rFonts w:ascii="Times New Roman" w:hAnsi="Times New Roman" w:cs="Times New Roman"/>
          <w:sz w:val="24"/>
          <w:szCs w:val="24"/>
        </w:rPr>
        <w:t xml:space="preserve"> (and their respective effects) on the role </w:t>
      </w:r>
      <w:r w:rsidRPr="001050CC">
        <w:rPr>
          <w:rFonts w:ascii="Times New Roman" w:hAnsi="Times New Roman" w:cs="Times New Roman"/>
          <w:sz w:val="24"/>
          <w:szCs w:val="24"/>
        </w:rPr>
        <w:t xml:space="preserve">of self-efficacy </w:t>
      </w:r>
      <w:r>
        <w:rPr>
          <w:rFonts w:ascii="Times New Roman" w:hAnsi="Times New Roman" w:cs="Times New Roman"/>
          <w:sz w:val="24"/>
          <w:szCs w:val="24"/>
        </w:rPr>
        <w:t xml:space="preserve">on advanced physics course enrollment </w:t>
      </w:r>
      <w:r w:rsidRPr="001050CC">
        <w:rPr>
          <w:rFonts w:ascii="Times New Roman" w:hAnsi="Times New Roman" w:cs="Times New Roman"/>
          <w:sz w:val="24"/>
          <w:szCs w:val="24"/>
        </w:rPr>
        <w:t xml:space="preserve">for the two </w:t>
      </w:r>
      <w:r>
        <w:rPr>
          <w:rFonts w:ascii="Times New Roman" w:hAnsi="Times New Roman" w:cs="Times New Roman"/>
          <w:sz w:val="24"/>
          <w:szCs w:val="24"/>
        </w:rPr>
        <w:t>groups.</w:t>
      </w:r>
    </w:p>
    <w:p w14:paraId="4B4E6135" w14:textId="77777777" w:rsidR="00FB41AA" w:rsidRPr="00AD36D9" w:rsidRDefault="00FB41AA" w:rsidP="00BA4A2D">
      <w:pPr>
        <w:widowControl w:val="0"/>
        <w:spacing w:after="0" w:line="480" w:lineRule="auto"/>
        <w:rPr>
          <w:rFonts w:ascii="Times New Roman" w:hAnsi="Times New Roman" w:cs="Times New Roman"/>
          <w:b/>
          <w:sz w:val="24"/>
          <w:szCs w:val="24"/>
        </w:rPr>
      </w:pPr>
      <w:r w:rsidRPr="00AD36D9">
        <w:rPr>
          <w:rFonts w:ascii="Times New Roman" w:hAnsi="Times New Roman" w:cs="Times New Roman"/>
          <w:b/>
          <w:sz w:val="24"/>
          <w:szCs w:val="24"/>
        </w:rPr>
        <w:t>Ethical Considerations</w:t>
      </w:r>
      <w:bookmarkEnd w:id="42"/>
      <w:bookmarkEnd w:id="43"/>
      <w:bookmarkEnd w:id="44"/>
    </w:p>
    <w:p w14:paraId="18F41642" w14:textId="35ED2FDF" w:rsidR="00FB41AA" w:rsidRPr="002E6CE8" w:rsidRDefault="00FB41AA" w:rsidP="00BA4A2D">
      <w:pPr>
        <w:widowControl w:val="0"/>
        <w:spacing w:after="0" w:line="480" w:lineRule="auto"/>
        <w:ind w:firstLine="720"/>
        <w:rPr>
          <w:rFonts w:ascii="Times New Roman" w:hAnsi="Times New Roman" w:cs="Times New Roman"/>
          <w:strike/>
          <w:sz w:val="24"/>
          <w:szCs w:val="24"/>
        </w:rPr>
      </w:pPr>
      <w:r w:rsidRPr="00AD36D9">
        <w:rPr>
          <w:rFonts w:ascii="Times New Roman" w:hAnsi="Times New Roman" w:cs="Times New Roman"/>
          <w:sz w:val="24"/>
          <w:szCs w:val="24"/>
        </w:rPr>
        <w:lastRenderedPageBreak/>
        <w:t>Conducting ethical research studies requires protecting the anonymity of the participants as well as keeping their responses confidential (Creswell &amp; Guetterman, 2015)</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Participant</w:t>
      </w:r>
      <w:r w:rsidR="00CC4A32">
        <w:rPr>
          <w:rFonts w:ascii="Times New Roman" w:hAnsi="Times New Roman" w:cs="Times New Roman"/>
          <w:sz w:val="24"/>
          <w:szCs w:val="24"/>
        </w:rPr>
        <w:t>s’</w:t>
      </w:r>
      <w:r w:rsidRPr="00AD36D9">
        <w:rPr>
          <w:rFonts w:ascii="Times New Roman" w:hAnsi="Times New Roman" w:cs="Times New Roman"/>
          <w:sz w:val="24"/>
          <w:szCs w:val="24"/>
        </w:rPr>
        <w:t xml:space="preserve"> responses </w:t>
      </w:r>
      <w:r w:rsidR="00ED5A08">
        <w:rPr>
          <w:rFonts w:ascii="Times New Roman" w:hAnsi="Times New Roman" w:cs="Times New Roman"/>
          <w:sz w:val="24"/>
          <w:szCs w:val="24"/>
        </w:rPr>
        <w:t>were not</w:t>
      </w:r>
      <w:r w:rsidRPr="00AD36D9">
        <w:rPr>
          <w:rFonts w:ascii="Times New Roman" w:hAnsi="Times New Roman" w:cs="Times New Roman"/>
          <w:sz w:val="24"/>
          <w:szCs w:val="24"/>
        </w:rPr>
        <w:t xml:space="preserve"> shared with other participants, non-participating students, </w:t>
      </w:r>
      <w:r w:rsidR="00ED5A08">
        <w:rPr>
          <w:rFonts w:ascii="Times New Roman" w:hAnsi="Times New Roman" w:cs="Times New Roman"/>
          <w:sz w:val="24"/>
          <w:szCs w:val="24"/>
        </w:rPr>
        <w:t>or</w:t>
      </w:r>
      <w:r w:rsidRPr="00AD36D9">
        <w:rPr>
          <w:rFonts w:ascii="Times New Roman" w:hAnsi="Times New Roman" w:cs="Times New Roman"/>
          <w:sz w:val="24"/>
          <w:szCs w:val="24"/>
        </w:rPr>
        <w:t xml:space="preserve"> other staff at the study location</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Prior to the collection of any research data, inf</w:t>
      </w:r>
      <w:r w:rsidR="00ED5A08">
        <w:rPr>
          <w:rFonts w:ascii="Times New Roman" w:hAnsi="Times New Roman" w:cs="Times New Roman"/>
          <w:sz w:val="24"/>
          <w:szCs w:val="24"/>
        </w:rPr>
        <w:t>ormed consent was</w:t>
      </w:r>
      <w:r w:rsidRPr="00AD36D9">
        <w:rPr>
          <w:rFonts w:ascii="Times New Roman" w:hAnsi="Times New Roman" w:cs="Times New Roman"/>
          <w:sz w:val="24"/>
          <w:szCs w:val="24"/>
        </w:rPr>
        <w:t xml:space="preserve"> obtained from participant</w:t>
      </w:r>
      <w:r w:rsidR="00CC4A32">
        <w:rPr>
          <w:rFonts w:ascii="Times New Roman" w:hAnsi="Times New Roman" w:cs="Times New Roman"/>
          <w:sz w:val="24"/>
          <w:szCs w:val="24"/>
        </w:rPr>
        <w:t>s</w:t>
      </w:r>
      <w:r w:rsidRPr="00AD36D9">
        <w:rPr>
          <w:rFonts w:ascii="Times New Roman" w:hAnsi="Times New Roman" w:cs="Times New Roman"/>
          <w:sz w:val="24"/>
          <w:szCs w:val="24"/>
        </w:rPr>
        <w:t xml:space="preserve"> via parent consent and student assent</w:t>
      </w:r>
      <w:r w:rsidR="00736F31"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Students </w:t>
      </w:r>
      <w:r w:rsidR="00ED5A08">
        <w:rPr>
          <w:rFonts w:ascii="Times New Roman" w:hAnsi="Times New Roman" w:cs="Times New Roman"/>
          <w:sz w:val="24"/>
          <w:szCs w:val="24"/>
        </w:rPr>
        <w:t>at the research location were</w:t>
      </w:r>
      <w:r w:rsidRPr="00AD36D9">
        <w:rPr>
          <w:rFonts w:ascii="Times New Roman" w:hAnsi="Times New Roman" w:cs="Times New Roman"/>
          <w:sz w:val="24"/>
          <w:szCs w:val="24"/>
        </w:rPr>
        <w:t xml:space="preserve"> assured that choosing not to participate will not affect their grades or attitudes of their classroom teachers. Participation </w:t>
      </w:r>
      <w:r w:rsidR="005516B0">
        <w:rPr>
          <w:rFonts w:ascii="Times New Roman" w:hAnsi="Times New Roman" w:cs="Times New Roman"/>
          <w:sz w:val="24"/>
          <w:szCs w:val="24"/>
        </w:rPr>
        <w:t>was</w:t>
      </w:r>
      <w:r w:rsidR="005516B0"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truly voluntary. The </w:t>
      </w:r>
      <w:r w:rsidR="007C5AD4" w:rsidRPr="00AD36D9">
        <w:rPr>
          <w:rFonts w:ascii="Times New Roman" w:hAnsi="Times New Roman" w:cs="Times New Roman"/>
          <w:sz w:val="24"/>
          <w:szCs w:val="24"/>
        </w:rPr>
        <w:t xml:space="preserve">ability </w:t>
      </w:r>
      <w:r w:rsidRPr="00AD36D9">
        <w:rPr>
          <w:rFonts w:ascii="Times New Roman" w:hAnsi="Times New Roman" w:cs="Times New Roman"/>
          <w:sz w:val="24"/>
          <w:szCs w:val="24"/>
        </w:rPr>
        <w:t>to d</w:t>
      </w:r>
      <w:r w:rsidR="00ED5A08">
        <w:rPr>
          <w:rFonts w:ascii="Times New Roman" w:hAnsi="Times New Roman" w:cs="Times New Roman"/>
          <w:sz w:val="24"/>
          <w:szCs w:val="24"/>
        </w:rPr>
        <w:t>iscontinue participation was</w:t>
      </w:r>
      <w:r w:rsidRPr="00AD36D9">
        <w:rPr>
          <w:rFonts w:ascii="Times New Roman" w:hAnsi="Times New Roman" w:cs="Times New Roman"/>
          <w:sz w:val="24"/>
          <w:szCs w:val="24"/>
        </w:rPr>
        <w:t xml:space="preserve"> repeated during </w:t>
      </w:r>
      <w:r w:rsidR="007C5AD4" w:rsidRPr="00AD36D9">
        <w:rPr>
          <w:rFonts w:ascii="Times New Roman" w:hAnsi="Times New Roman" w:cs="Times New Roman"/>
          <w:sz w:val="24"/>
          <w:szCs w:val="24"/>
        </w:rPr>
        <w:t xml:space="preserve">each data collection session </w:t>
      </w:r>
      <w:r w:rsidRPr="00AD36D9">
        <w:rPr>
          <w:rFonts w:ascii="Times New Roman" w:hAnsi="Times New Roman" w:cs="Times New Roman"/>
          <w:sz w:val="24"/>
          <w:szCs w:val="24"/>
        </w:rPr>
        <w:t>of the research study</w:t>
      </w:r>
      <w:r w:rsidR="007C5AD4" w:rsidRPr="00AD36D9">
        <w:rPr>
          <w:rFonts w:ascii="Times New Roman" w:hAnsi="Times New Roman" w:cs="Times New Roman"/>
          <w:sz w:val="24"/>
          <w:szCs w:val="24"/>
        </w:rPr>
        <w:t>.</w:t>
      </w:r>
      <w:r w:rsidRPr="00AD36D9">
        <w:rPr>
          <w:rFonts w:ascii="Times New Roman" w:hAnsi="Times New Roman" w:cs="Times New Roman"/>
          <w:sz w:val="24"/>
          <w:szCs w:val="24"/>
        </w:rPr>
        <w:t xml:space="preserve"> </w:t>
      </w:r>
    </w:p>
    <w:p w14:paraId="670699F2" w14:textId="191A93C3" w:rsidR="00FB41AA" w:rsidRPr="00AD36D9" w:rsidRDefault="00CC4A32" w:rsidP="00BA4A2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w:t>
      </w:r>
      <w:r w:rsidR="00ED5A08">
        <w:rPr>
          <w:rFonts w:ascii="Times New Roman" w:hAnsi="Times New Roman" w:cs="Times New Roman"/>
          <w:sz w:val="24"/>
          <w:szCs w:val="24"/>
        </w:rPr>
        <w:t>onfidentiality was</w:t>
      </w:r>
      <w:r w:rsidR="00FB41AA" w:rsidRPr="00AD36D9">
        <w:rPr>
          <w:rFonts w:ascii="Times New Roman" w:hAnsi="Times New Roman" w:cs="Times New Roman"/>
          <w:sz w:val="24"/>
          <w:szCs w:val="24"/>
        </w:rPr>
        <w:t xml:space="preserve"> accomplished through </w:t>
      </w:r>
      <w:r w:rsidR="0006781A" w:rsidRPr="00AD36D9">
        <w:rPr>
          <w:rFonts w:ascii="Times New Roman" w:hAnsi="Times New Roman" w:cs="Times New Roman"/>
          <w:sz w:val="24"/>
          <w:szCs w:val="24"/>
        </w:rPr>
        <w:t>using</w:t>
      </w:r>
      <w:r w:rsidR="00FB41AA" w:rsidRPr="00AD36D9">
        <w:rPr>
          <w:rFonts w:ascii="Times New Roman" w:hAnsi="Times New Roman" w:cs="Times New Roman"/>
          <w:sz w:val="24"/>
          <w:szCs w:val="24"/>
        </w:rPr>
        <w:t xml:space="preserve"> a</w:t>
      </w:r>
      <w:r w:rsidR="0006781A" w:rsidRPr="00AD36D9">
        <w:rPr>
          <w:rFonts w:ascii="Times New Roman" w:hAnsi="Times New Roman" w:cs="Times New Roman"/>
          <w:sz w:val="24"/>
          <w:szCs w:val="24"/>
        </w:rPr>
        <w:t xml:space="preserve"> school issued</w:t>
      </w:r>
      <w:r w:rsidR="00FB41AA" w:rsidRPr="00AD36D9">
        <w:rPr>
          <w:rFonts w:ascii="Times New Roman" w:hAnsi="Times New Roman" w:cs="Times New Roman"/>
          <w:sz w:val="24"/>
          <w:szCs w:val="24"/>
        </w:rPr>
        <w:t xml:space="preserve"> six digit identification number </w:t>
      </w:r>
      <w:r w:rsidR="00624260">
        <w:rPr>
          <w:rFonts w:ascii="Times New Roman" w:hAnsi="Times New Roman" w:cs="Times New Roman"/>
          <w:sz w:val="24"/>
          <w:szCs w:val="24"/>
        </w:rPr>
        <w:t>for</w:t>
      </w:r>
      <w:r w:rsidR="00624260" w:rsidRPr="00AD36D9">
        <w:rPr>
          <w:rFonts w:ascii="Times New Roman" w:hAnsi="Times New Roman" w:cs="Times New Roman"/>
          <w:sz w:val="24"/>
          <w:szCs w:val="24"/>
        </w:rPr>
        <w:t xml:space="preserve"> </w:t>
      </w:r>
      <w:r w:rsidR="00FB41AA" w:rsidRPr="00AD36D9">
        <w:rPr>
          <w:rFonts w:ascii="Times New Roman" w:hAnsi="Times New Roman" w:cs="Times New Roman"/>
          <w:sz w:val="24"/>
          <w:szCs w:val="24"/>
        </w:rPr>
        <w:t>each participant in the study</w:t>
      </w:r>
      <w:r w:rsidR="00736F31" w:rsidRPr="00AD36D9">
        <w:rPr>
          <w:rFonts w:ascii="Times New Roman" w:hAnsi="Times New Roman" w:cs="Times New Roman"/>
          <w:sz w:val="24"/>
          <w:szCs w:val="24"/>
        </w:rPr>
        <w:t xml:space="preserve">. </w:t>
      </w:r>
      <w:r w:rsidR="00ED5A08">
        <w:rPr>
          <w:rFonts w:ascii="Times New Roman" w:hAnsi="Times New Roman" w:cs="Times New Roman"/>
          <w:sz w:val="24"/>
          <w:szCs w:val="24"/>
        </w:rPr>
        <w:t>The researcher</w:t>
      </w:r>
      <w:r w:rsidR="0006781A" w:rsidRPr="00AD36D9">
        <w:rPr>
          <w:rFonts w:ascii="Times New Roman" w:hAnsi="Times New Roman" w:cs="Times New Roman"/>
          <w:sz w:val="24"/>
          <w:szCs w:val="24"/>
        </w:rPr>
        <w:t xml:space="preserve"> administer</w:t>
      </w:r>
      <w:r w:rsidR="00ED5A08">
        <w:rPr>
          <w:rFonts w:ascii="Times New Roman" w:hAnsi="Times New Roman" w:cs="Times New Roman"/>
          <w:sz w:val="24"/>
          <w:szCs w:val="24"/>
        </w:rPr>
        <w:t>ed</w:t>
      </w:r>
      <w:r w:rsidR="0006781A" w:rsidRPr="00AD36D9">
        <w:rPr>
          <w:rFonts w:ascii="Times New Roman" w:hAnsi="Times New Roman" w:cs="Times New Roman"/>
          <w:sz w:val="24"/>
          <w:szCs w:val="24"/>
        </w:rPr>
        <w:t xml:space="preserve"> the demographic</w:t>
      </w:r>
      <w:r w:rsidR="00ED5A08">
        <w:rPr>
          <w:rFonts w:ascii="Times New Roman" w:hAnsi="Times New Roman" w:cs="Times New Roman"/>
          <w:sz w:val="24"/>
          <w:szCs w:val="24"/>
        </w:rPr>
        <w:t xml:space="preserve">s </w:t>
      </w:r>
      <w:r w:rsidR="00617BD0">
        <w:rPr>
          <w:rFonts w:ascii="Times New Roman" w:hAnsi="Times New Roman" w:cs="Times New Roman"/>
          <w:sz w:val="24"/>
          <w:szCs w:val="24"/>
        </w:rPr>
        <w:t>survey</w:t>
      </w:r>
      <w:r w:rsidR="00ED5A08">
        <w:rPr>
          <w:rFonts w:ascii="Times New Roman" w:hAnsi="Times New Roman" w:cs="Times New Roman"/>
          <w:sz w:val="24"/>
          <w:szCs w:val="24"/>
        </w:rPr>
        <w:t xml:space="preserve"> and the </w:t>
      </w:r>
      <w:r w:rsidR="0006781A" w:rsidRPr="00AD36D9">
        <w:rPr>
          <w:rFonts w:ascii="Times New Roman" w:hAnsi="Times New Roman" w:cs="Times New Roman"/>
          <w:sz w:val="24"/>
          <w:szCs w:val="24"/>
        </w:rPr>
        <w:t>SOSESC-P instruments</w:t>
      </w:r>
      <w:r w:rsidR="00ED5A08">
        <w:rPr>
          <w:rFonts w:ascii="Times New Roman" w:hAnsi="Times New Roman" w:cs="Times New Roman"/>
          <w:sz w:val="24"/>
          <w:szCs w:val="24"/>
        </w:rPr>
        <w:t>. Participants were</w:t>
      </w:r>
      <w:r w:rsidR="00FA3567" w:rsidRPr="00AD36D9">
        <w:rPr>
          <w:rFonts w:ascii="Times New Roman" w:hAnsi="Times New Roman" w:cs="Times New Roman"/>
          <w:sz w:val="24"/>
          <w:szCs w:val="24"/>
        </w:rPr>
        <w:t xml:space="preserve"> inform</w:t>
      </w:r>
      <w:r w:rsidR="00ED5A08">
        <w:rPr>
          <w:rFonts w:ascii="Times New Roman" w:hAnsi="Times New Roman" w:cs="Times New Roman"/>
          <w:sz w:val="24"/>
          <w:szCs w:val="24"/>
        </w:rPr>
        <w:t>ed</w:t>
      </w:r>
      <w:r w:rsidR="00FA3567" w:rsidRPr="00AD36D9">
        <w:rPr>
          <w:rFonts w:ascii="Times New Roman" w:hAnsi="Times New Roman" w:cs="Times New Roman"/>
          <w:sz w:val="24"/>
          <w:szCs w:val="24"/>
        </w:rPr>
        <w:t xml:space="preserve"> that they will not have access to the result</w:t>
      </w:r>
      <w:r w:rsidR="00874C8B">
        <w:rPr>
          <w:rFonts w:ascii="Times New Roman" w:hAnsi="Times New Roman" w:cs="Times New Roman"/>
          <w:sz w:val="24"/>
          <w:szCs w:val="24"/>
        </w:rPr>
        <w:t xml:space="preserve">s and they </w:t>
      </w:r>
      <w:r w:rsidR="00FA3567" w:rsidRPr="00AD36D9">
        <w:rPr>
          <w:rFonts w:ascii="Times New Roman" w:hAnsi="Times New Roman" w:cs="Times New Roman"/>
          <w:sz w:val="24"/>
          <w:szCs w:val="24"/>
        </w:rPr>
        <w:t>place</w:t>
      </w:r>
      <w:r w:rsidR="00ED5A08">
        <w:rPr>
          <w:rFonts w:ascii="Times New Roman" w:hAnsi="Times New Roman" w:cs="Times New Roman"/>
          <w:sz w:val="24"/>
          <w:szCs w:val="24"/>
        </w:rPr>
        <w:t>d</w:t>
      </w:r>
      <w:r w:rsidR="00FA3567" w:rsidRPr="00AD36D9">
        <w:rPr>
          <w:rFonts w:ascii="Times New Roman" w:hAnsi="Times New Roman" w:cs="Times New Roman"/>
          <w:sz w:val="24"/>
          <w:szCs w:val="24"/>
        </w:rPr>
        <w:t xml:space="preserve"> their responses in a manila envelope at the front of t</w:t>
      </w:r>
      <w:r w:rsidR="00ED5A08">
        <w:rPr>
          <w:rFonts w:ascii="Times New Roman" w:hAnsi="Times New Roman" w:cs="Times New Roman"/>
          <w:sz w:val="24"/>
          <w:szCs w:val="24"/>
        </w:rPr>
        <w:t xml:space="preserve">he classroom which were collected by the researcher. </w:t>
      </w:r>
      <w:r w:rsidR="00FA3567" w:rsidRPr="00AD36D9">
        <w:rPr>
          <w:rFonts w:ascii="Times New Roman" w:hAnsi="Times New Roman" w:cs="Times New Roman"/>
          <w:sz w:val="24"/>
          <w:szCs w:val="24"/>
        </w:rPr>
        <w:t>T</w:t>
      </w:r>
      <w:r w:rsidR="00ED5A08">
        <w:rPr>
          <w:rFonts w:ascii="Times New Roman" w:hAnsi="Times New Roman" w:cs="Times New Roman"/>
          <w:sz w:val="24"/>
          <w:szCs w:val="24"/>
        </w:rPr>
        <w:t>he survey responses were</w:t>
      </w:r>
      <w:r w:rsidR="00FB41AA" w:rsidRPr="00AD36D9">
        <w:rPr>
          <w:rFonts w:ascii="Times New Roman" w:hAnsi="Times New Roman" w:cs="Times New Roman"/>
          <w:sz w:val="24"/>
          <w:szCs w:val="24"/>
        </w:rPr>
        <w:t xml:space="preserve"> scored only by the researcher and kept securely</w:t>
      </w:r>
      <w:r w:rsidR="00070DC4" w:rsidRPr="00AD36D9">
        <w:rPr>
          <w:rFonts w:ascii="Times New Roman" w:hAnsi="Times New Roman" w:cs="Times New Roman"/>
          <w:sz w:val="24"/>
          <w:szCs w:val="24"/>
        </w:rPr>
        <w:t xml:space="preserve"> in a locked drawer</w:t>
      </w:r>
      <w:r w:rsidR="00FA3567" w:rsidRPr="00AD36D9">
        <w:rPr>
          <w:rFonts w:ascii="Times New Roman" w:hAnsi="Times New Roman" w:cs="Times New Roman"/>
          <w:sz w:val="24"/>
          <w:szCs w:val="24"/>
        </w:rPr>
        <w:t xml:space="preserve"> in the researcher’s office</w:t>
      </w:r>
      <w:r w:rsidR="00070DC4" w:rsidRPr="00AD36D9">
        <w:rPr>
          <w:rFonts w:ascii="Times New Roman" w:hAnsi="Times New Roman" w:cs="Times New Roman"/>
          <w:sz w:val="24"/>
          <w:szCs w:val="24"/>
        </w:rPr>
        <w:t xml:space="preserve">. Electronic </w:t>
      </w:r>
      <w:r w:rsidR="00FA3567" w:rsidRPr="00AD36D9">
        <w:rPr>
          <w:rFonts w:ascii="Times New Roman" w:hAnsi="Times New Roman" w:cs="Times New Roman"/>
          <w:sz w:val="24"/>
          <w:szCs w:val="24"/>
        </w:rPr>
        <w:t xml:space="preserve">scores and model analysis </w:t>
      </w:r>
      <w:r w:rsidR="00ED5A08">
        <w:rPr>
          <w:rFonts w:ascii="Times New Roman" w:hAnsi="Times New Roman" w:cs="Times New Roman"/>
          <w:sz w:val="24"/>
          <w:szCs w:val="24"/>
        </w:rPr>
        <w:t>were</w:t>
      </w:r>
      <w:r w:rsidR="00070DC4" w:rsidRPr="00AD36D9">
        <w:rPr>
          <w:rFonts w:ascii="Times New Roman" w:hAnsi="Times New Roman" w:cs="Times New Roman"/>
          <w:sz w:val="24"/>
          <w:szCs w:val="24"/>
        </w:rPr>
        <w:t xml:space="preserve"> only available to the researcher</w:t>
      </w:r>
      <w:r w:rsidR="00736F31" w:rsidRPr="00AD36D9">
        <w:rPr>
          <w:rFonts w:ascii="Times New Roman" w:hAnsi="Times New Roman" w:cs="Times New Roman"/>
          <w:sz w:val="24"/>
          <w:szCs w:val="24"/>
        </w:rPr>
        <w:t>.</w:t>
      </w:r>
      <w:r w:rsidR="00FB41AA" w:rsidRPr="00AD36D9">
        <w:rPr>
          <w:rFonts w:ascii="Times New Roman" w:hAnsi="Times New Roman" w:cs="Times New Roman"/>
          <w:sz w:val="24"/>
          <w:szCs w:val="24"/>
        </w:rPr>
        <w:t xml:space="preserve"> </w:t>
      </w:r>
      <w:r w:rsidR="00070DC4" w:rsidRPr="00AD36D9">
        <w:rPr>
          <w:rFonts w:ascii="Times New Roman" w:hAnsi="Times New Roman" w:cs="Times New Roman"/>
          <w:sz w:val="24"/>
          <w:szCs w:val="24"/>
        </w:rPr>
        <w:t xml:space="preserve">The </w:t>
      </w:r>
      <w:r w:rsidR="00874C8B">
        <w:rPr>
          <w:rFonts w:ascii="Times New Roman" w:hAnsi="Times New Roman" w:cs="Times New Roman"/>
          <w:sz w:val="24"/>
          <w:szCs w:val="24"/>
        </w:rPr>
        <w:t>FCI</w:t>
      </w:r>
      <w:r w:rsidR="00070DC4" w:rsidRPr="00AD36D9">
        <w:rPr>
          <w:rFonts w:ascii="Times New Roman" w:hAnsi="Times New Roman" w:cs="Times New Roman"/>
          <w:sz w:val="24"/>
          <w:szCs w:val="24"/>
        </w:rPr>
        <w:t xml:space="preserve"> is a part of the regular physics curriculum and therefore all teachers have access to that data and administer</w:t>
      </w:r>
      <w:r w:rsidR="00ED5A08">
        <w:rPr>
          <w:rFonts w:ascii="Times New Roman" w:hAnsi="Times New Roman" w:cs="Times New Roman"/>
          <w:sz w:val="24"/>
          <w:szCs w:val="24"/>
        </w:rPr>
        <w:t>ed</w:t>
      </w:r>
      <w:r w:rsidR="00070DC4" w:rsidRPr="00AD36D9">
        <w:rPr>
          <w:rFonts w:ascii="Times New Roman" w:hAnsi="Times New Roman" w:cs="Times New Roman"/>
          <w:sz w:val="24"/>
          <w:szCs w:val="24"/>
        </w:rPr>
        <w:t xml:space="preserve"> </w:t>
      </w:r>
      <w:r w:rsidR="00ED5A08">
        <w:rPr>
          <w:rFonts w:ascii="Times New Roman" w:hAnsi="Times New Roman" w:cs="Times New Roman"/>
          <w:sz w:val="24"/>
          <w:szCs w:val="24"/>
        </w:rPr>
        <w:t>the</w:t>
      </w:r>
      <w:r w:rsidR="00070DC4" w:rsidRPr="00AD36D9">
        <w:rPr>
          <w:rFonts w:ascii="Times New Roman" w:hAnsi="Times New Roman" w:cs="Times New Roman"/>
          <w:sz w:val="24"/>
          <w:szCs w:val="24"/>
        </w:rPr>
        <w:t xml:space="preserve"> instrument </w:t>
      </w:r>
      <w:r w:rsidR="00ED5A08">
        <w:rPr>
          <w:rFonts w:ascii="Times New Roman" w:hAnsi="Times New Roman" w:cs="Times New Roman"/>
          <w:sz w:val="24"/>
          <w:szCs w:val="24"/>
        </w:rPr>
        <w:t>personally</w:t>
      </w:r>
      <w:r w:rsidR="00070DC4" w:rsidRPr="00AD36D9">
        <w:rPr>
          <w:rFonts w:ascii="Times New Roman" w:hAnsi="Times New Roman" w:cs="Times New Roman"/>
          <w:sz w:val="24"/>
          <w:szCs w:val="24"/>
        </w:rPr>
        <w:t xml:space="preserve">. </w:t>
      </w:r>
    </w:p>
    <w:p w14:paraId="034CCD0F" w14:textId="195363ED" w:rsidR="00FB41AA" w:rsidRPr="00AD36D9" w:rsidRDefault="00FB41AA" w:rsidP="00BA4A2D">
      <w:pPr>
        <w:pStyle w:val="Heading2"/>
      </w:pPr>
      <w:bookmarkStart w:id="45" w:name="_Toc349720648"/>
      <w:bookmarkStart w:id="46" w:name="_Toc350241692"/>
      <w:bookmarkStart w:id="47" w:name="_Toc351528713"/>
      <w:bookmarkStart w:id="48" w:name="_Toc117501926"/>
      <w:r w:rsidRPr="00AD36D9">
        <w:t>Limitations</w:t>
      </w:r>
      <w:bookmarkEnd w:id="45"/>
      <w:bookmarkEnd w:id="46"/>
      <w:bookmarkEnd w:id="47"/>
      <w:bookmarkEnd w:id="48"/>
    </w:p>
    <w:p w14:paraId="48D271E5" w14:textId="5968BB0A" w:rsidR="00222BEA" w:rsidRDefault="00DC6223" w:rsidP="000943B8">
      <w:pPr>
        <w:pStyle w:val="NoSpacing"/>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Purposeful</w:t>
      </w:r>
      <w:r w:rsidR="00FB41AA" w:rsidRPr="00AD36D9">
        <w:rPr>
          <w:rFonts w:ascii="Times New Roman" w:hAnsi="Times New Roman" w:cs="Times New Roman"/>
          <w:sz w:val="24"/>
          <w:szCs w:val="24"/>
        </w:rPr>
        <w:t xml:space="preserve"> sampling best </w:t>
      </w:r>
      <w:r w:rsidR="005516B0" w:rsidRPr="00AD36D9">
        <w:rPr>
          <w:rFonts w:ascii="Times New Roman" w:hAnsi="Times New Roman" w:cs="Times New Roman"/>
          <w:sz w:val="24"/>
          <w:szCs w:val="24"/>
        </w:rPr>
        <w:t>describe</w:t>
      </w:r>
      <w:r w:rsidR="005516B0">
        <w:rPr>
          <w:rFonts w:ascii="Times New Roman" w:hAnsi="Times New Roman" w:cs="Times New Roman"/>
          <w:sz w:val="24"/>
          <w:szCs w:val="24"/>
        </w:rPr>
        <w:t>d</w:t>
      </w:r>
      <w:r w:rsidR="005516B0" w:rsidRPr="00AD36D9">
        <w:rPr>
          <w:rFonts w:ascii="Times New Roman" w:hAnsi="Times New Roman" w:cs="Times New Roman"/>
          <w:sz w:val="24"/>
          <w:szCs w:val="24"/>
        </w:rPr>
        <w:t xml:space="preserve"> </w:t>
      </w:r>
      <w:r w:rsidR="00FB41AA" w:rsidRPr="00AD36D9">
        <w:rPr>
          <w:rFonts w:ascii="Times New Roman" w:hAnsi="Times New Roman" w:cs="Times New Roman"/>
          <w:sz w:val="24"/>
          <w:szCs w:val="24"/>
        </w:rPr>
        <w:t xml:space="preserve">the </w:t>
      </w:r>
      <w:r w:rsidR="00825062" w:rsidRPr="00AD36D9">
        <w:rPr>
          <w:rFonts w:ascii="Times New Roman" w:hAnsi="Times New Roman" w:cs="Times New Roman"/>
          <w:sz w:val="24"/>
          <w:szCs w:val="24"/>
        </w:rPr>
        <w:t xml:space="preserve">method used to identify the </w:t>
      </w:r>
      <w:r w:rsidR="00FB41AA" w:rsidRPr="00AD36D9">
        <w:rPr>
          <w:rFonts w:ascii="Times New Roman" w:hAnsi="Times New Roman" w:cs="Times New Roman"/>
          <w:sz w:val="24"/>
          <w:szCs w:val="24"/>
        </w:rPr>
        <w:t>participants chosen for this study due to a choice of using those most readily available to the researcher</w:t>
      </w:r>
      <w:r w:rsidR="001C0BE6">
        <w:rPr>
          <w:rFonts w:ascii="Times New Roman" w:hAnsi="Times New Roman" w:cs="Times New Roman"/>
          <w:sz w:val="24"/>
          <w:szCs w:val="24"/>
        </w:rPr>
        <w:t xml:space="preserve"> as well as having shared common characteristics</w:t>
      </w:r>
      <w:r w:rsidR="00736F31" w:rsidRPr="00AD36D9">
        <w:rPr>
          <w:rFonts w:ascii="Times New Roman" w:hAnsi="Times New Roman" w:cs="Times New Roman"/>
          <w:sz w:val="24"/>
          <w:szCs w:val="24"/>
        </w:rPr>
        <w:t>.</w:t>
      </w:r>
      <w:r w:rsidR="00FB41AA" w:rsidRPr="00AD36D9">
        <w:rPr>
          <w:rFonts w:ascii="Times New Roman" w:hAnsi="Times New Roman" w:cs="Times New Roman"/>
          <w:sz w:val="24"/>
          <w:szCs w:val="24"/>
        </w:rPr>
        <w:t xml:space="preserve"> However, this </w:t>
      </w:r>
      <w:r w:rsidR="005516B0">
        <w:rPr>
          <w:rFonts w:ascii="Times New Roman" w:hAnsi="Times New Roman" w:cs="Times New Roman"/>
          <w:sz w:val="24"/>
          <w:szCs w:val="24"/>
        </w:rPr>
        <w:t>placed</w:t>
      </w:r>
      <w:r w:rsidR="00FB41AA" w:rsidRPr="00AD36D9">
        <w:rPr>
          <w:rFonts w:ascii="Times New Roman" w:hAnsi="Times New Roman" w:cs="Times New Roman"/>
          <w:sz w:val="24"/>
          <w:szCs w:val="24"/>
        </w:rPr>
        <w:t xml:space="preserve"> a degree of limitation on how well the researcher can say with confidence that the participants are representative of the population (Creswell &amp; Guetterman, 2015)</w:t>
      </w:r>
      <w:r w:rsidR="00736F31" w:rsidRPr="00AD36D9">
        <w:rPr>
          <w:rFonts w:ascii="Times New Roman" w:hAnsi="Times New Roman" w:cs="Times New Roman"/>
          <w:sz w:val="24"/>
          <w:szCs w:val="24"/>
        </w:rPr>
        <w:t xml:space="preserve">. </w:t>
      </w:r>
      <w:r w:rsidR="00FB41AA" w:rsidRPr="00AD36D9">
        <w:rPr>
          <w:rFonts w:ascii="Times New Roman" w:hAnsi="Times New Roman" w:cs="Times New Roman"/>
          <w:sz w:val="24"/>
          <w:szCs w:val="24"/>
        </w:rPr>
        <w:t xml:space="preserve">Response rates </w:t>
      </w:r>
      <w:r w:rsidR="001C0BE6">
        <w:rPr>
          <w:rFonts w:ascii="Times New Roman" w:hAnsi="Times New Roman" w:cs="Times New Roman"/>
          <w:sz w:val="24"/>
          <w:szCs w:val="24"/>
        </w:rPr>
        <w:t>were</w:t>
      </w:r>
      <w:r w:rsidR="00FB41AA" w:rsidRPr="00AD36D9">
        <w:rPr>
          <w:rFonts w:ascii="Times New Roman" w:hAnsi="Times New Roman" w:cs="Times New Roman"/>
          <w:sz w:val="24"/>
          <w:szCs w:val="24"/>
        </w:rPr>
        <w:t xml:space="preserve"> a concern of the researcher</w:t>
      </w:r>
      <w:r w:rsidR="00736F31" w:rsidRPr="00AD36D9">
        <w:rPr>
          <w:rFonts w:ascii="Times New Roman" w:hAnsi="Times New Roman" w:cs="Times New Roman"/>
          <w:sz w:val="24"/>
          <w:szCs w:val="24"/>
        </w:rPr>
        <w:t>.</w:t>
      </w:r>
      <w:r w:rsidR="00FB41AA" w:rsidRPr="00AD36D9">
        <w:rPr>
          <w:rFonts w:ascii="Times New Roman" w:hAnsi="Times New Roman" w:cs="Times New Roman"/>
          <w:sz w:val="24"/>
          <w:szCs w:val="24"/>
        </w:rPr>
        <w:t xml:space="preserve"> Access to the target </w:t>
      </w:r>
      <w:r w:rsidR="00BC4EE5" w:rsidRPr="00AD36D9">
        <w:rPr>
          <w:rFonts w:ascii="Times New Roman" w:hAnsi="Times New Roman" w:cs="Times New Roman"/>
          <w:sz w:val="24"/>
          <w:szCs w:val="24"/>
        </w:rPr>
        <w:t xml:space="preserve">sample </w:t>
      </w:r>
      <w:r w:rsidR="001C0BE6">
        <w:rPr>
          <w:rFonts w:ascii="Times New Roman" w:hAnsi="Times New Roman" w:cs="Times New Roman"/>
          <w:sz w:val="24"/>
          <w:szCs w:val="24"/>
        </w:rPr>
        <w:t>allowed</w:t>
      </w:r>
      <w:r w:rsidR="00FB41AA" w:rsidRPr="00AD36D9">
        <w:rPr>
          <w:rFonts w:ascii="Times New Roman" w:hAnsi="Times New Roman" w:cs="Times New Roman"/>
          <w:sz w:val="24"/>
          <w:szCs w:val="24"/>
        </w:rPr>
        <w:t xml:space="preserve"> for follow-up actions</w:t>
      </w:r>
      <w:r w:rsidR="001C0BE6">
        <w:rPr>
          <w:rFonts w:ascii="Times New Roman" w:hAnsi="Times New Roman" w:cs="Times New Roman"/>
          <w:sz w:val="24"/>
          <w:szCs w:val="24"/>
        </w:rPr>
        <w:t>,</w:t>
      </w:r>
      <w:r w:rsidR="00FB41AA" w:rsidRPr="00AD36D9">
        <w:rPr>
          <w:rFonts w:ascii="Times New Roman" w:hAnsi="Times New Roman" w:cs="Times New Roman"/>
          <w:sz w:val="24"/>
          <w:szCs w:val="24"/>
        </w:rPr>
        <w:t xml:space="preserve"> or re-invitations</w:t>
      </w:r>
      <w:r w:rsidR="001C0BE6">
        <w:rPr>
          <w:rFonts w:ascii="Times New Roman" w:hAnsi="Times New Roman" w:cs="Times New Roman"/>
          <w:sz w:val="24"/>
          <w:szCs w:val="24"/>
        </w:rPr>
        <w:t>, to participate by the researcher</w:t>
      </w:r>
      <w:r w:rsidR="00D558FD" w:rsidRPr="00AD36D9">
        <w:rPr>
          <w:rFonts w:ascii="Times New Roman" w:hAnsi="Times New Roman" w:cs="Times New Roman"/>
          <w:sz w:val="24"/>
          <w:szCs w:val="24"/>
        </w:rPr>
        <w:t>.</w:t>
      </w:r>
      <w:r w:rsidR="00FB41AA" w:rsidRPr="00AD36D9">
        <w:rPr>
          <w:rFonts w:ascii="Times New Roman" w:hAnsi="Times New Roman" w:cs="Times New Roman"/>
          <w:sz w:val="24"/>
          <w:szCs w:val="24"/>
        </w:rPr>
        <w:t xml:space="preserve"> </w:t>
      </w:r>
      <w:r w:rsidR="00FB41AA" w:rsidRPr="00AD36D9">
        <w:rPr>
          <w:rFonts w:ascii="Times New Roman" w:hAnsi="Times New Roman" w:cs="Times New Roman"/>
          <w:sz w:val="24"/>
          <w:szCs w:val="24"/>
        </w:rPr>
        <w:lastRenderedPageBreak/>
        <w:t xml:space="preserve">Repeated invitations </w:t>
      </w:r>
      <w:r w:rsidR="001C0BE6">
        <w:rPr>
          <w:rFonts w:ascii="Times New Roman" w:hAnsi="Times New Roman" w:cs="Times New Roman"/>
          <w:sz w:val="24"/>
          <w:szCs w:val="24"/>
        </w:rPr>
        <w:t>were</w:t>
      </w:r>
      <w:r w:rsidR="00825062" w:rsidRPr="00AD36D9">
        <w:rPr>
          <w:rFonts w:ascii="Times New Roman" w:hAnsi="Times New Roman" w:cs="Times New Roman"/>
          <w:sz w:val="24"/>
          <w:szCs w:val="24"/>
        </w:rPr>
        <w:t xml:space="preserve"> </w:t>
      </w:r>
      <w:r w:rsidR="00FB41AA" w:rsidRPr="00AD36D9">
        <w:rPr>
          <w:rFonts w:ascii="Times New Roman" w:hAnsi="Times New Roman" w:cs="Times New Roman"/>
          <w:sz w:val="24"/>
          <w:szCs w:val="24"/>
        </w:rPr>
        <w:t xml:space="preserve">used to increase the sample size of the participants </w:t>
      </w:r>
      <w:r w:rsidR="00825062" w:rsidRPr="00AD36D9">
        <w:rPr>
          <w:rFonts w:ascii="Times New Roman" w:hAnsi="Times New Roman" w:cs="Times New Roman"/>
          <w:sz w:val="24"/>
          <w:szCs w:val="24"/>
        </w:rPr>
        <w:t>to mitigate</w:t>
      </w:r>
      <w:r w:rsidR="00F6571F" w:rsidRPr="00AD36D9">
        <w:rPr>
          <w:rFonts w:ascii="Times New Roman" w:hAnsi="Times New Roman" w:cs="Times New Roman"/>
          <w:sz w:val="24"/>
          <w:szCs w:val="24"/>
        </w:rPr>
        <w:t xml:space="preserve"> </w:t>
      </w:r>
      <w:r w:rsidR="00FB41AA" w:rsidRPr="00AD36D9">
        <w:rPr>
          <w:rFonts w:ascii="Times New Roman" w:hAnsi="Times New Roman" w:cs="Times New Roman"/>
          <w:sz w:val="24"/>
          <w:szCs w:val="24"/>
        </w:rPr>
        <w:t>expected low</w:t>
      </w:r>
      <w:r w:rsidR="00825062" w:rsidRPr="00AD36D9">
        <w:rPr>
          <w:rFonts w:ascii="Times New Roman" w:hAnsi="Times New Roman" w:cs="Times New Roman"/>
          <w:sz w:val="24"/>
          <w:szCs w:val="24"/>
        </w:rPr>
        <w:t>er</w:t>
      </w:r>
      <w:r w:rsidR="00FB41AA" w:rsidRPr="00AD36D9">
        <w:rPr>
          <w:rFonts w:ascii="Times New Roman" w:hAnsi="Times New Roman" w:cs="Times New Roman"/>
          <w:sz w:val="24"/>
          <w:szCs w:val="24"/>
        </w:rPr>
        <w:t xml:space="preserve"> numbers of </w:t>
      </w:r>
      <w:r w:rsidR="00825062" w:rsidRPr="00AD36D9">
        <w:rPr>
          <w:rFonts w:ascii="Times New Roman" w:hAnsi="Times New Roman" w:cs="Times New Roman"/>
          <w:sz w:val="24"/>
          <w:szCs w:val="24"/>
        </w:rPr>
        <w:t xml:space="preserve">participants </w:t>
      </w:r>
      <w:r w:rsidR="00FB41AA" w:rsidRPr="00AD36D9">
        <w:rPr>
          <w:rFonts w:ascii="Times New Roman" w:hAnsi="Times New Roman" w:cs="Times New Roman"/>
          <w:sz w:val="24"/>
          <w:szCs w:val="24"/>
        </w:rPr>
        <w:t xml:space="preserve">once the data </w:t>
      </w:r>
      <w:r w:rsidR="00AF5110">
        <w:rPr>
          <w:rFonts w:ascii="Times New Roman" w:hAnsi="Times New Roman" w:cs="Times New Roman"/>
          <w:sz w:val="24"/>
          <w:szCs w:val="24"/>
        </w:rPr>
        <w:t>were</w:t>
      </w:r>
      <w:r w:rsidR="00AF5110" w:rsidRPr="00AD36D9">
        <w:rPr>
          <w:rFonts w:ascii="Times New Roman" w:hAnsi="Times New Roman" w:cs="Times New Roman"/>
          <w:sz w:val="24"/>
          <w:szCs w:val="24"/>
        </w:rPr>
        <w:t xml:space="preserve"> </w:t>
      </w:r>
      <w:r w:rsidR="00FB41AA" w:rsidRPr="00AD36D9">
        <w:rPr>
          <w:rFonts w:ascii="Times New Roman" w:hAnsi="Times New Roman" w:cs="Times New Roman"/>
          <w:sz w:val="24"/>
          <w:szCs w:val="24"/>
        </w:rPr>
        <w:t>disaggregated by gender and choice to enroll in a second year of physics</w:t>
      </w:r>
      <w:r w:rsidR="00736F31" w:rsidRPr="00AD36D9">
        <w:rPr>
          <w:rFonts w:ascii="Times New Roman" w:hAnsi="Times New Roman" w:cs="Times New Roman"/>
          <w:sz w:val="24"/>
          <w:szCs w:val="24"/>
        </w:rPr>
        <w:t>.</w:t>
      </w:r>
      <w:r w:rsidR="00837FD1" w:rsidRPr="00AD36D9">
        <w:rPr>
          <w:rFonts w:ascii="Times New Roman" w:hAnsi="Times New Roman" w:cs="Times New Roman"/>
          <w:sz w:val="24"/>
          <w:szCs w:val="24"/>
        </w:rPr>
        <w:t xml:space="preserve"> Peduzzi et al. (1996) demonstrated the effect of sample size on the convergence of regression coefficients in logistic regression analysis. </w:t>
      </w:r>
      <w:r w:rsidR="00357BE0">
        <w:rPr>
          <w:rFonts w:ascii="Times New Roman" w:hAnsi="Times New Roman" w:cs="Times New Roman"/>
          <w:sz w:val="24"/>
          <w:szCs w:val="24"/>
        </w:rPr>
        <w:t xml:space="preserve">Peduzzi </w:t>
      </w:r>
      <w:r w:rsidR="00E70EEF">
        <w:rPr>
          <w:rFonts w:ascii="Times New Roman" w:hAnsi="Times New Roman" w:cs="Times New Roman"/>
          <w:sz w:val="24"/>
          <w:szCs w:val="24"/>
        </w:rPr>
        <w:t xml:space="preserve">et al. </w:t>
      </w:r>
      <w:r w:rsidR="00837FD1" w:rsidRPr="00AD36D9">
        <w:rPr>
          <w:rFonts w:ascii="Times New Roman" w:hAnsi="Times New Roman" w:cs="Times New Roman"/>
          <w:sz w:val="24"/>
          <w:szCs w:val="24"/>
        </w:rPr>
        <w:t xml:space="preserve">recommended </w:t>
      </w:r>
      <w:r w:rsidR="00E70EEF">
        <w:rPr>
          <w:rFonts w:ascii="Times New Roman" w:hAnsi="Times New Roman" w:cs="Times New Roman"/>
          <w:sz w:val="24"/>
          <w:szCs w:val="24"/>
        </w:rPr>
        <w:t xml:space="preserve">10 </w:t>
      </w:r>
      <w:r w:rsidR="00E70EEF" w:rsidRPr="00AD36D9">
        <w:rPr>
          <w:rFonts w:ascii="Times New Roman" w:hAnsi="Times New Roman" w:cs="Times New Roman"/>
          <w:sz w:val="24"/>
          <w:szCs w:val="24"/>
        </w:rPr>
        <w:t xml:space="preserve">events per variable (EPV) </w:t>
      </w:r>
      <w:r w:rsidR="00837FD1" w:rsidRPr="00AD36D9">
        <w:rPr>
          <w:rFonts w:ascii="Times New Roman" w:hAnsi="Times New Roman" w:cs="Times New Roman"/>
          <w:sz w:val="24"/>
          <w:szCs w:val="24"/>
        </w:rPr>
        <w:t xml:space="preserve">to achieve coefficient convergence. </w:t>
      </w:r>
    </w:p>
    <w:p w14:paraId="34635A65" w14:textId="1C08ADCB" w:rsidR="00FB41AA" w:rsidRPr="001C0BE6" w:rsidRDefault="00837FD1" w:rsidP="00BA4A2D">
      <w:pPr>
        <w:pStyle w:val="NoSpacing"/>
        <w:widowControl w:val="0"/>
        <w:spacing w:line="480" w:lineRule="auto"/>
        <w:ind w:firstLine="720"/>
        <w:rPr>
          <w:rFonts w:ascii="Times New Roman" w:hAnsi="Times New Roman" w:cs="Times New Roman"/>
          <w:strike/>
          <w:sz w:val="24"/>
          <w:szCs w:val="24"/>
        </w:rPr>
      </w:pPr>
      <w:r w:rsidRPr="00AD36D9">
        <w:rPr>
          <w:rFonts w:ascii="Times New Roman" w:hAnsi="Times New Roman" w:cs="Times New Roman"/>
          <w:sz w:val="24"/>
          <w:szCs w:val="24"/>
        </w:rPr>
        <w:t xml:space="preserve">The event in this research study </w:t>
      </w:r>
      <w:r w:rsidR="005516B0">
        <w:rPr>
          <w:rFonts w:ascii="Times New Roman" w:hAnsi="Times New Roman" w:cs="Times New Roman"/>
          <w:sz w:val="24"/>
          <w:szCs w:val="24"/>
        </w:rPr>
        <w:t>was</w:t>
      </w:r>
      <w:r w:rsidR="005516B0" w:rsidRPr="00AD36D9">
        <w:rPr>
          <w:rFonts w:ascii="Times New Roman" w:hAnsi="Times New Roman" w:cs="Times New Roman"/>
          <w:sz w:val="24"/>
          <w:szCs w:val="24"/>
        </w:rPr>
        <w:t xml:space="preserve"> </w:t>
      </w:r>
      <w:r w:rsidRPr="00AD36D9">
        <w:rPr>
          <w:rFonts w:ascii="Times New Roman" w:hAnsi="Times New Roman" w:cs="Times New Roman"/>
          <w:sz w:val="24"/>
          <w:szCs w:val="24"/>
        </w:rPr>
        <w:t>a student choosing to take a second year of high school physics. This study include</w:t>
      </w:r>
      <w:r w:rsidR="00F76729">
        <w:rPr>
          <w:rFonts w:ascii="Times New Roman" w:hAnsi="Times New Roman" w:cs="Times New Roman"/>
          <w:sz w:val="24"/>
          <w:szCs w:val="24"/>
        </w:rPr>
        <w:t>d</w:t>
      </w:r>
      <w:r w:rsidRPr="00AD36D9">
        <w:rPr>
          <w:rFonts w:ascii="Times New Roman" w:hAnsi="Times New Roman" w:cs="Times New Roman"/>
          <w:sz w:val="24"/>
          <w:szCs w:val="24"/>
        </w:rPr>
        <w:t xml:space="preserve"> </w:t>
      </w:r>
      <w:r w:rsidR="00F76729">
        <w:rPr>
          <w:rFonts w:ascii="Times New Roman" w:hAnsi="Times New Roman" w:cs="Times New Roman"/>
          <w:sz w:val="24"/>
          <w:szCs w:val="24"/>
        </w:rPr>
        <w:t>seven</w:t>
      </w:r>
      <w:r w:rsidR="00F76729" w:rsidRPr="00AD36D9">
        <w:rPr>
          <w:rFonts w:ascii="Times New Roman" w:hAnsi="Times New Roman" w:cs="Times New Roman"/>
          <w:sz w:val="24"/>
          <w:szCs w:val="24"/>
        </w:rPr>
        <w:t xml:space="preserve"> </w:t>
      </w:r>
      <w:r w:rsidRPr="00AD36D9">
        <w:rPr>
          <w:rFonts w:ascii="Times New Roman" w:hAnsi="Times New Roman" w:cs="Times New Roman"/>
          <w:sz w:val="24"/>
          <w:szCs w:val="24"/>
        </w:rPr>
        <w:t>independent variables</w:t>
      </w:r>
      <w:r w:rsidR="00F76729">
        <w:rPr>
          <w:rFonts w:ascii="Times New Roman" w:hAnsi="Times New Roman" w:cs="Times New Roman"/>
          <w:sz w:val="24"/>
          <w:szCs w:val="24"/>
        </w:rPr>
        <w:t xml:space="preserve"> in model 1,</w:t>
      </w:r>
      <w:r w:rsidRPr="00AD36D9">
        <w:rPr>
          <w:rFonts w:ascii="Times New Roman" w:hAnsi="Times New Roman" w:cs="Times New Roman"/>
          <w:sz w:val="24"/>
          <w:szCs w:val="24"/>
        </w:rPr>
        <w:t xml:space="preserve"> </w:t>
      </w:r>
      <w:r w:rsidR="00F76729">
        <w:rPr>
          <w:rFonts w:ascii="Times New Roman" w:hAnsi="Times New Roman" w:cs="Times New Roman"/>
          <w:sz w:val="24"/>
          <w:szCs w:val="24"/>
        </w:rPr>
        <w:t>requiring</w:t>
      </w:r>
      <w:r w:rsidR="00F76729"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a minimum of </w:t>
      </w:r>
      <w:r w:rsidR="00F76729">
        <w:rPr>
          <w:rFonts w:ascii="Times New Roman" w:hAnsi="Times New Roman" w:cs="Times New Roman"/>
          <w:sz w:val="24"/>
          <w:szCs w:val="24"/>
        </w:rPr>
        <w:t>70</w:t>
      </w:r>
      <w:r w:rsidR="00F76729" w:rsidRPr="00AD36D9">
        <w:rPr>
          <w:rFonts w:ascii="Times New Roman" w:hAnsi="Times New Roman" w:cs="Times New Roman"/>
          <w:sz w:val="24"/>
          <w:szCs w:val="24"/>
        </w:rPr>
        <w:t xml:space="preserve"> </w:t>
      </w:r>
      <w:r w:rsidRPr="00AD36D9">
        <w:rPr>
          <w:rFonts w:ascii="Times New Roman" w:hAnsi="Times New Roman" w:cs="Times New Roman"/>
          <w:sz w:val="24"/>
          <w:szCs w:val="24"/>
        </w:rPr>
        <w:t xml:space="preserve">participants </w:t>
      </w:r>
      <w:r w:rsidR="00F76729">
        <w:rPr>
          <w:rFonts w:ascii="Times New Roman" w:hAnsi="Times New Roman" w:cs="Times New Roman"/>
          <w:sz w:val="24"/>
          <w:szCs w:val="24"/>
        </w:rPr>
        <w:t>choosing a second year of physics. In this study</w:t>
      </w:r>
      <w:r w:rsidR="00BC22AB">
        <w:rPr>
          <w:rFonts w:ascii="Times New Roman" w:hAnsi="Times New Roman" w:cs="Times New Roman"/>
          <w:sz w:val="24"/>
          <w:szCs w:val="24"/>
        </w:rPr>
        <w:t>,</w:t>
      </w:r>
      <w:r w:rsidR="00F76729">
        <w:rPr>
          <w:rFonts w:ascii="Times New Roman" w:hAnsi="Times New Roman" w:cs="Times New Roman"/>
          <w:sz w:val="24"/>
          <w:szCs w:val="24"/>
        </w:rPr>
        <w:t xml:space="preserve"> only 33 participants chose a second year of high school physics. Of those 33, only 12 were women</w:t>
      </w:r>
      <w:r w:rsidRPr="00AD36D9">
        <w:rPr>
          <w:rFonts w:ascii="Times New Roman" w:hAnsi="Times New Roman" w:cs="Times New Roman"/>
          <w:sz w:val="24"/>
          <w:szCs w:val="24"/>
        </w:rPr>
        <w:t>.</w:t>
      </w:r>
      <w:r w:rsidR="00F76729">
        <w:rPr>
          <w:rFonts w:ascii="Times New Roman" w:hAnsi="Times New Roman" w:cs="Times New Roman"/>
          <w:sz w:val="24"/>
          <w:szCs w:val="24"/>
        </w:rPr>
        <w:t xml:space="preserve"> </w:t>
      </w:r>
      <w:r w:rsidR="00A97C08">
        <w:rPr>
          <w:rFonts w:ascii="Times New Roman" w:hAnsi="Times New Roman" w:cs="Times New Roman"/>
          <w:sz w:val="24"/>
          <w:szCs w:val="24"/>
        </w:rPr>
        <w:t xml:space="preserve">Low numbers of participants sharing a common characteristic can lead to overfitting a model and inflating the effect or odds ratio from a logistic regression analysis (Tabachinick &amp; Fidell, 2007). The low number of women choosing a second year of physics </w:t>
      </w:r>
      <w:r w:rsidR="00EC7DF7">
        <w:rPr>
          <w:rFonts w:ascii="Times New Roman" w:hAnsi="Times New Roman" w:cs="Times New Roman"/>
          <w:sz w:val="24"/>
          <w:szCs w:val="24"/>
        </w:rPr>
        <w:t xml:space="preserve">was </w:t>
      </w:r>
      <w:r w:rsidR="00F76729">
        <w:rPr>
          <w:rFonts w:ascii="Times New Roman" w:hAnsi="Times New Roman" w:cs="Times New Roman"/>
          <w:sz w:val="24"/>
          <w:szCs w:val="24"/>
        </w:rPr>
        <w:t xml:space="preserve">a limiting factor in obtaining accurate </w:t>
      </w:r>
      <w:r w:rsidR="00357BE0">
        <w:rPr>
          <w:rFonts w:ascii="Times New Roman" w:hAnsi="Times New Roman" w:cs="Times New Roman"/>
          <w:sz w:val="24"/>
          <w:szCs w:val="24"/>
        </w:rPr>
        <w:t xml:space="preserve">values of the </w:t>
      </w:r>
      <w:r w:rsidR="00F76729">
        <w:rPr>
          <w:rFonts w:ascii="Times New Roman" w:hAnsi="Times New Roman" w:cs="Times New Roman"/>
          <w:sz w:val="24"/>
          <w:szCs w:val="24"/>
        </w:rPr>
        <w:t>odd</w:t>
      </w:r>
      <w:r w:rsidR="00357BE0">
        <w:rPr>
          <w:rFonts w:ascii="Times New Roman" w:hAnsi="Times New Roman" w:cs="Times New Roman"/>
          <w:sz w:val="24"/>
          <w:szCs w:val="24"/>
        </w:rPr>
        <w:t>s</w:t>
      </w:r>
      <w:r w:rsidR="00F76729">
        <w:rPr>
          <w:rFonts w:ascii="Times New Roman" w:hAnsi="Times New Roman" w:cs="Times New Roman"/>
          <w:sz w:val="24"/>
          <w:szCs w:val="24"/>
        </w:rPr>
        <w:t xml:space="preserve"> ratios in this study.</w:t>
      </w:r>
      <w:r w:rsidR="00DD5E99">
        <w:rPr>
          <w:rFonts w:ascii="Times New Roman" w:hAnsi="Times New Roman" w:cs="Times New Roman"/>
          <w:sz w:val="24"/>
          <w:szCs w:val="24"/>
        </w:rPr>
        <w:t xml:space="preserve"> </w:t>
      </w:r>
      <w:r w:rsidR="00EC7DF7">
        <w:rPr>
          <w:rFonts w:ascii="Times New Roman" w:hAnsi="Times New Roman" w:cs="Times New Roman"/>
          <w:sz w:val="24"/>
          <w:szCs w:val="24"/>
        </w:rPr>
        <w:t>Tabachnick and Fidell</w:t>
      </w:r>
      <w:r w:rsidR="00222BEA">
        <w:rPr>
          <w:rFonts w:ascii="Times New Roman" w:hAnsi="Times New Roman" w:cs="Times New Roman"/>
          <w:sz w:val="24"/>
          <w:szCs w:val="24"/>
        </w:rPr>
        <w:t xml:space="preserve"> </w:t>
      </w:r>
      <w:r w:rsidR="00EC7DF7">
        <w:rPr>
          <w:rFonts w:ascii="Times New Roman" w:hAnsi="Times New Roman" w:cs="Times New Roman"/>
          <w:sz w:val="24"/>
          <w:szCs w:val="24"/>
        </w:rPr>
        <w:t>discussed the effect of low sample sizes on logistic regression and on parameter estimates and standard errors. Overfitting can be a problem if the few women in this study who enrolled in a second year of high school physics shared a high levels of mastery learning.</w:t>
      </w:r>
    </w:p>
    <w:p w14:paraId="628F9308" w14:textId="77777777" w:rsidR="00FB41AA" w:rsidRPr="00AD36D9" w:rsidRDefault="00FB41AA" w:rsidP="003F7FE4">
      <w:pPr>
        <w:pStyle w:val="Heading2"/>
      </w:pPr>
      <w:bookmarkStart w:id="49" w:name="_Toc349720649"/>
      <w:bookmarkStart w:id="50" w:name="_Toc350241693"/>
      <w:bookmarkStart w:id="51" w:name="_Toc351528714"/>
      <w:bookmarkStart w:id="52" w:name="_Toc117501927"/>
      <w:r w:rsidRPr="00AD36D9">
        <w:t>Summary</w:t>
      </w:r>
      <w:bookmarkEnd w:id="49"/>
      <w:bookmarkEnd w:id="50"/>
      <w:bookmarkEnd w:id="51"/>
      <w:bookmarkEnd w:id="52"/>
    </w:p>
    <w:p w14:paraId="65A2F191" w14:textId="23BDBBB5" w:rsidR="00117115" w:rsidRDefault="00915A42" w:rsidP="00117115">
      <w:pPr>
        <w:widowControl w:val="0"/>
        <w:spacing w:after="0" w:line="480" w:lineRule="auto"/>
        <w:ind w:firstLine="720"/>
        <w:rPr>
          <w:rFonts w:ascii="Times New Roman" w:hAnsi="Times New Roman" w:cs="Times New Roman"/>
          <w:sz w:val="24"/>
          <w:szCs w:val="24"/>
        </w:rPr>
      </w:pPr>
      <w:r w:rsidRPr="00AD36D9">
        <w:rPr>
          <w:rFonts w:ascii="Times New Roman" w:hAnsi="Times New Roman" w:cs="Times New Roman"/>
          <w:sz w:val="24"/>
          <w:szCs w:val="24"/>
        </w:rPr>
        <w:t xml:space="preserve">Demographic data </w:t>
      </w:r>
      <w:r w:rsidR="00AF5110">
        <w:rPr>
          <w:rFonts w:ascii="Times New Roman" w:hAnsi="Times New Roman" w:cs="Times New Roman"/>
          <w:sz w:val="24"/>
          <w:szCs w:val="24"/>
        </w:rPr>
        <w:t xml:space="preserve">were </w:t>
      </w:r>
      <w:r w:rsidR="001C0BE6">
        <w:rPr>
          <w:rFonts w:ascii="Times New Roman" w:hAnsi="Times New Roman" w:cs="Times New Roman"/>
          <w:sz w:val="24"/>
          <w:szCs w:val="24"/>
        </w:rPr>
        <w:t>gathered for</w:t>
      </w:r>
      <w:r w:rsidRPr="00AD36D9">
        <w:rPr>
          <w:rFonts w:ascii="Times New Roman" w:hAnsi="Times New Roman" w:cs="Times New Roman"/>
          <w:sz w:val="24"/>
          <w:szCs w:val="24"/>
        </w:rPr>
        <w:t xml:space="preserve"> each participant </w:t>
      </w:r>
      <w:r w:rsidR="001C0BE6">
        <w:rPr>
          <w:rFonts w:ascii="Times New Roman" w:hAnsi="Times New Roman" w:cs="Times New Roman"/>
          <w:sz w:val="24"/>
          <w:szCs w:val="24"/>
        </w:rPr>
        <w:t>and t</w:t>
      </w:r>
      <w:r w:rsidRPr="00AD36D9">
        <w:rPr>
          <w:rFonts w:ascii="Times New Roman" w:hAnsi="Times New Roman" w:cs="Times New Roman"/>
          <w:sz w:val="24"/>
          <w:szCs w:val="24"/>
        </w:rPr>
        <w:t xml:space="preserve">he administration of </w:t>
      </w:r>
      <w:r w:rsidR="00117115">
        <w:rPr>
          <w:rFonts w:ascii="Times New Roman" w:hAnsi="Times New Roman" w:cs="Times New Roman"/>
          <w:sz w:val="24"/>
          <w:szCs w:val="24"/>
        </w:rPr>
        <w:t xml:space="preserve">the FCI </w:t>
      </w:r>
      <w:r w:rsidR="00617BD0">
        <w:rPr>
          <w:rFonts w:ascii="Times New Roman" w:hAnsi="Times New Roman" w:cs="Times New Roman"/>
          <w:sz w:val="24"/>
          <w:szCs w:val="24"/>
        </w:rPr>
        <w:t>was</w:t>
      </w:r>
      <w:r w:rsidR="001C0BE6">
        <w:rPr>
          <w:rFonts w:ascii="Times New Roman" w:hAnsi="Times New Roman" w:cs="Times New Roman"/>
          <w:sz w:val="24"/>
          <w:szCs w:val="24"/>
        </w:rPr>
        <w:t xml:space="preserve"> used to measure</w:t>
      </w:r>
      <w:r w:rsidRPr="00AD36D9">
        <w:rPr>
          <w:rFonts w:ascii="Times New Roman" w:hAnsi="Times New Roman" w:cs="Times New Roman"/>
          <w:sz w:val="24"/>
          <w:szCs w:val="24"/>
        </w:rPr>
        <w:t xml:space="preserve"> physics </w:t>
      </w:r>
      <w:r w:rsidR="001C0BE6">
        <w:rPr>
          <w:rFonts w:ascii="Times New Roman" w:hAnsi="Times New Roman" w:cs="Times New Roman"/>
          <w:sz w:val="24"/>
          <w:szCs w:val="24"/>
        </w:rPr>
        <w:t>knowledge growth</w:t>
      </w:r>
      <w:r w:rsidRPr="00AD36D9">
        <w:rPr>
          <w:rFonts w:ascii="Times New Roman" w:hAnsi="Times New Roman" w:cs="Times New Roman"/>
          <w:sz w:val="24"/>
          <w:szCs w:val="24"/>
        </w:rPr>
        <w:t>. The</w:t>
      </w:r>
      <w:r w:rsidR="00F91B90">
        <w:rPr>
          <w:rFonts w:ascii="Times New Roman" w:hAnsi="Times New Roman" w:cs="Times New Roman"/>
          <w:sz w:val="24"/>
          <w:szCs w:val="24"/>
        </w:rPr>
        <w:t xml:space="preserve"> </w:t>
      </w:r>
      <w:r w:rsidRPr="00AD36D9">
        <w:rPr>
          <w:rFonts w:ascii="Times New Roman" w:hAnsi="Times New Roman" w:cs="Times New Roman"/>
          <w:sz w:val="24"/>
          <w:szCs w:val="24"/>
        </w:rPr>
        <w:t xml:space="preserve">SOSESC-P </w:t>
      </w:r>
      <w:r w:rsidR="00E70EEF">
        <w:rPr>
          <w:rFonts w:ascii="Times New Roman" w:hAnsi="Times New Roman" w:cs="Times New Roman"/>
          <w:sz w:val="24"/>
          <w:szCs w:val="24"/>
        </w:rPr>
        <w:t>(</w:t>
      </w:r>
      <w:r w:rsidRPr="00AD36D9">
        <w:rPr>
          <w:rFonts w:ascii="Times New Roman" w:hAnsi="Times New Roman" w:cs="Times New Roman"/>
          <w:sz w:val="24"/>
          <w:szCs w:val="24"/>
        </w:rPr>
        <w:t xml:space="preserve">Fencl </w:t>
      </w:r>
      <w:r w:rsidR="00E70EEF">
        <w:rPr>
          <w:rFonts w:ascii="Times New Roman" w:hAnsi="Times New Roman" w:cs="Times New Roman"/>
          <w:sz w:val="24"/>
          <w:szCs w:val="24"/>
        </w:rPr>
        <w:t xml:space="preserve">&amp; </w:t>
      </w:r>
      <w:r w:rsidRPr="00AD36D9">
        <w:rPr>
          <w:rFonts w:ascii="Times New Roman" w:hAnsi="Times New Roman" w:cs="Times New Roman"/>
          <w:sz w:val="24"/>
          <w:szCs w:val="24"/>
        </w:rPr>
        <w:t>Scheel</w:t>
      </w:r>
      <w:r w:rsidR="00E70EEF">
        <w:rPr>
          <w:rFonts w:ascii="Times New Roman" w:hAnsi="Times New Roman" w:cs="Times New Roman"/>
          <w:sz w:val="24"/>
          <w:szCs w:val="24"/>
        </w:rPr>
        <w:t xml:space="preserve">, </w:t>
      </w:r>
      <w:r w:rsidRPr="00AD36D9">
        <w:rPr>
          <w:rFonts w:ascii="Times New Roman" w:hAnsi="Times New Roman" w:cs="Times New Roman"/>
          <w:sz w:val="24"/>
          <w:szCs w:val="24"/>
        </w:rPr>
        <w:t xml:space="preserve">2005) </w:t>
      </w:r>
      <w:r w:rsidR="001C0BE6">
        <w:rPr>
          <w:rFonts w:ascii="Times New Roman" w:hAnsi="Times New Roman" w:cs="Times New Roman"/>
          <w:sz w:val="24"/>
          <w:szCs w:val="24"/>
        </w:rPr>
        <w:t>was</w:t>
      </w:r>
      <w:r w:rsidRPr="00AD36D9">
        <w:rPr>
          <w:rFonts w:ascii="Times New Roman" w:hAnsi="Times New Roman" w:cs="Times New Roman"/>
          <w:sz w:val="24"/>
          <w:szCs w:val="24"/>
        </w:rPr>
        <w:t xml:space="preserve"> used to measure the level of student self-efficacy at the time of enrollment decisions for future high school courses. The results of this quantitative study explore</w:t>
      </w:r>
      <w:r w:rsidR="001C0BE6">
        <w:rPr>
          <w:rFonts w:ascii="Times New Roman" w:hAnsi="Times New Roman" w:cs="Times New Roman"/>
          <w:sz w:val="24"/>
          <w:szCs w:val="24"/>
        </w:rPr>
        <w:t>d</w:t>
      </w:r>
      <w:r w:rsidRPr="00AD36D9">
        <w:rPr>
          <w:rFonts w:ascii="Times New Roman" w:hAnsi="Times New Roman" w:cs="Times New Roman"/>
          <w:sz w:val="24"/>
          <w:szCs w:val="24"/>
        </w:rPr>
        <w:t xml:space="preserve"> </w:t>
      </w:r>
      <w:r w:rsidR="001C0BE6">
        <w:rPr>
          <w:rFonts w:ascii="Times New Roman" w:hAnsi="Times New Roman" w:cs="Times New Roman"/>
          <w:sz w:val="24"/>
          <w:szCs w:val="24"/>
        </w:rPr>
        <w:t>the</w:t>
      </w:r>
      <w:r w:rsidRPr="00AD36D9">
        <w:rPr>
          <w:rFonts w:ascii="Times New Roman" w:hAnsi="Times New Roman" w:cs="Times New Roman"/>
          <w:sz w:val="24"/>
          <w:szCs w:val="24"/>
        </w:rPr>
        <w:t xml:space="preserve"> role self-efficacy </w:t>
      </w:r>
      <w:r w:rsidR="00A6137A" w:rsidRPr="00AD36D9">
        <w:rPr>
          <w:rFonts w:ascii="Times New Roman" w:hAnsi="Times New Roman" w:cs="Times New Roman"/>
          <w:sz w:val="24"/>
          <w:szCs w:val="24"/>
        </w:rPr>
        <w:t xml:space="preserve">plays </w:t>
      </w:r>
      <w:r w:rsidRPr="00AD36D9">
        <w:rPr>
          <w:rFonts w:ascii="Times New Roman" w:hAnsi="Times New Roman" w:cs="Times New Roman"/>
          <w:sz w:val="24"/>
          <w:szCs w:val="24"/>
        </w:rPr>
        <w:t>and which of Bandura’s</w:t>
      </w:r>
      <w:r w:rsidR="00117115">
        <w:rPr>
          <w:rFonts w:ascii="Times New Roman" w:hAnsi="Times New Roman" w:cs="Times New Roman"/>
          <w:sz w:val="24"/>
          <w:szCs w:val="24"/>
        </w:rPr>
        <w:t xml:space="preserve"> (1977)</w:t>
      </w:r>
      <w:r w:rsidRPr="00AD36D9">
        <w:rPr>
          <w:rFonts w:ascii="Times New Roman" w:hAnsi="Times New Roman" w:cs="Times New Roman"/>
          <w:sz w:val="24"/>
          <w:szCs w:val="24"/>
        </w:rPr>
        <w:t xml:space="preserve"> sources of self-efficacy </w:t>
      </w:r>
      <w:r w:rsidR="00573E9B">
        <w:rPr>
          <w:rFonts w:ascii="Times New Roman" w:hAnsi="Times New Roman" w:cs="Times New Roman"/>
          <w:sz w:val="24"/>
          <w:szCs w:val="24"/>
        </w:rPr>
        <w:t>were</w:t>
      </w:r>
      <w:r w:rsidR="00573E9B" w:rsidRPr="00AD36D9">
        <w:rPr>
          <w:rFonts w:ascii="Times New Roman" w:hAnsi="Times New Roman" w:cs="Times New Roman"/>
          <w:sz w:val="24"/>
          <w:szCs w:val="24"/>
        </w:rPr>
        <w:t xml:space="preserve"> </w:t>
      </w:r>
      <w:r w:rsidR="001C0BE6">
        <w:rPr>
          <w:rFonts w:ascii="Times New Roman" w:hAnsi="Times New Roman" w:cs="Times New Roman"/>
          <w:sz w:val="24"/>
          <w:szCs w:val="24"/>
        </w:rPr>
        <w:t>possible</w:t>
      </w:r>
      <w:r w:rsidRPr="00AD36D9">
        <w:rPr>
          <w:rFonts w:ascii="Times New Roman" w:hAnsi="Times New Roman" w:cs="Times New Roman"/>
          <w:sz w:val="24"/>
          <w:szCs w:val="24"/>
        </w:rPr>
        <w:t xml:space="preserve"> predictors of future physics course enrollment through logistic regression. These sources and predictor variables</w:t>
      </w:r>
      <w:r w:rsidR="00117115">
        <w:rPr>
          <w:rFonts w:ascii="Times New Roman" w:hAnsi="Times New Roman" w:cs="Times New Roman"/>
          <w:sz w:val="24"/>
          <w:szCs w:val="24"/>
        </w:rPr>
        <w:t>—</w:t>
      </w:r>
      <w:r w:rsidRPr="00AD36D9">
        <w:rPr>
          <w:rFonts w:ascii="Times New Roman" w:hAnsi="Times New Roman" w:cs="Times New Roman"/>
          <w:sz w:val="24"/>
          <w:szCs w:val="24"/>
        </w:rPr>
        <w:lastRenderedPageBreak/>
        <w:t xml:space="preserve">mastery experiences, vicarious learning, social </w:t>
      </w:r>
      <w:r w:rsidR="00117115" w:rsidRPr="00AD36D9">
        <w:rPr>
          <w:rFonts w:ascii="Times New Roman" w:hAnsi="Times New Roman" w:cs="Times New Roman"/>
          <w:sz w:val="24"/>
          <w:szCs w:val="24"/>
        </w:rPr>
        <w:t>persuasion,</w:t>
      </w:r>
      <w:r w:rsidRPr="00AD36D9">
        <w:rPr>
          <w:rFonts w:ascii="Times New Roman" w:hAnsi="Times New Roman" w:cs="Times New Roman"/>
          <w:sz w:val="24"/>
          <w:szCs w:val="24"/>
        </w:rPr>
        <w:t xml:space="preserve"> and physiological state</w:t>
      </w:r>
      <w:r w:rsidR="00117115">
        <w:rPr>
          <w:rFonts w:ascii="Times New Roman" w:hAnsi="Times New Roman" w:cs="Times New Roman"/>
          <w:sz w:val="24"/>
          <w:szCs w:val="24"/>
        </w:rPr>
        <w:t>—</w:t>
      </w:r>
    </w:p>
    <w:p w14:paraId="7C8496EB" w14:textId="28CD437E" w:rsidR="00915A42" w:rsidRPr="00AD36D9" w:rsidRDefault="001C0BE6"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were</w:t>
      </w:r>
      <w:r w:rsidR="00915A42" w:rsidRPr="00AD36D9">
        <w:rPr>
          <w:rFonts w:ascii="Times New Roman" w:hAnsi="Times New Roman" w:cs="Times New Roman"/>
          <w:sz w:val="24"/>
          <w:szCs w:val="24"/>
        </w:rPr>
        <w:t xml:space="preserve"> used to create a model of predicted probability of enrollment decision in a second year of high school physics.</w:t>
      </w:r>
    </w:p>
    <w:p w14:paraId="39088F8B" w14:textId="0D053F28" w:rsidR="00FB41AA" w:rsidRPr="00AD36D9" w:rsidRDefault="00FB41AA" w:rsidP="00BA4A2D">
      <w:pPr>
        <w:widowControl w:val="0"/>
        <w:spacing w:after="0" w:line="480" w:lineRule="auto"/>
        <w:ind w:firstLine="720"/>
        <w:rPr>
          <w:rFonts w:ascii="Times New Roman" w:hAnsi="Times New Roman" w:cs="Times New Roman"/>
          <w:sz w:val="24"/>
          <w:szCs w:val="24"/>
        </w:rPr>
      </w:pPr>
      <w:r w:rsidRPr="00AD36D9">
        <w:rPr>
          <w:rFonts w:ascii="Times New Roman" w:hAnsi="Times New Roman" w:cs="Times New Roman"/>
          <w:sz w:val="24"/>
          <w:szCs w:val="24"/>
        </w:rPr>
        <w:t xml:space="preserve">More understanding is needed </w:t>
      </w:r>
      <w:r w:rsidR="00825062" w:rsidRPr="00AD36D9">
        <w:rPr>
          <w:rFonts w:ascii="Times New Roman" w:hAnsi="Times New Roman" w:cs="Times New Roman"/>
          <w:sz w:val="24"/>
          <w:szCs w:val="24"/>
        </w:rPr>
        <w:t xml:space="preserve">about </w:t>
      </w:r>
      <w:r w:rsidRPr="00AD36D9">
        <w:rPr>
          <w:rFonts w:ascii="Times New Roman" w:hAnsi="Times New Roman" w:cs="Times New Roman"/>
          <w:sz w:val="24"/>
          <w:szCs w:val="24"/>
        </w:rPr>
        <w:t xml:space="preserve">the factors that </w:t>
      </w:r>
      <w:r w:rsidR="008F5C0A" w:rsidRPr="00AD36D9">
        <w:rPr>
          <w:rFonts w:ascii="Times New Roman" w:hAnsi="Times New Roman" w:cs="Times New Roman"/>
          <w:sz w:val="24"/>
          <w:szCs w:val="24"/>
        </w:rPr>
        <w:t xml:space="preserve">impact </w:t>
      </w:r>
      <w:r w:rsidRPr="00AD36D9">
        <w:rPr>
          <w:rFonts w:ascii="Times New Roman" w:hAnsi="Times New Roman" w:cs="Times New Roman"/>
          <w:sz w:val="24"/>
          <w:szCs w:val="24"/>
        </w:rPr>
        <w:t xml:space="preserve">the decision by students on whether to take a second year of high school physics. </w:t>
      </w:r>
      <w:r w:rsidR="008F5C0A" w:rsidRPr="00AD36D9">
        <w:rPr>
          <w:rFonts w:ascii="Times New Roman" w:hAnsi="Times New Roman" w:cs="Times New Roman"/>
          <w:sz w:val="24"/>
          <w:szCs w:val="24"/>
        </w:rPr>
        <w:t xml:space="preserve">Greater understanding hopefully will </w:t>
      </w:r>
      <w:r w:rsidR="00825062" w:rsidRPr="00AD36D9">
        <w:rPr>
          <w:rFonts w:ascii="Times New Roman" w:hAnsi="Times New Roman" w:cs="Times New Roman"/>
          <w:sz w:val="24"/>
          <w:szCs w:val="24"/>
        </w:rPr>
        <w:t>drive</w:t>
      </w:r>
      <w:r w:rsidR="008F5C0A" w:rsidRPr="00AD36D9">
        <w:rPr>
          <w:rFonts w:ascii="Times New Roman" w:hAnsi="Times New Roman" w:cs="Times New Roman"/>
          <w:sz w:val="24"/>
          <w:szCs w:val="24"/>
        </w:rPr>
        <w:t xml:space="preserve"> </w:t>
      </w:r>
      <w:r w:rsidR="00825062" w:rsidRPr="00AD36D9">
        <w:rPr>
          <w:rFonts w:ascii="Times New Roman" w:hAnsi="Times New Roman" w:cs="Times New Roman"/>
          <w:sz w:val="24"/>
          <w:szCs w:val="24"/>
        </w:rPr>
        <w:t>initiatives that will</w:t>
      </w:r>
      <w:r w:rsidR="00F6571F" w:rsidRPr="00AD36D9">
        <w:rPr>
          <w:rFonts w:ascii="Times New Roman" w:hAnsi="Times New Roman" w:cs="Times New Roman"/>
          <w:sz w:val="24"/>
          <w:szCs w:val="24"/>
        </w:rPr>
        <w:t xml:space="preserve"> </w:t>
      </w:r>
      <w:r w:rsidR="008F5C0A" w:rsidRPr="00AD36D9">
        <w:rPr>
          <w:rFonts w:ascii="Times New Roman" w:hAnsi="Times New Roman" w:cs="Times New Roman"/>
          <w:sz w:val="24"/>
          <w:szCs w:val="24"/>
        </w:rPr>
        <w:t xml:space="preserve">increase rates of enrollment in second year high school physics courses by women. </w:t>
      </w:r>
      <w:r w:rsidRPr="00AD36D9">
        <w:rPr>
          <w:rFonts w:ascii="Times New Roman" w:hAnsi="Times New Roman" w:cs="Times New Roman"/>
          <w:sz w:val="24"/>
          <w:szCs w:val="24"/>
        </w:rPr>
        <w:t>Two years of physics will widen the door to future STEM careers</w:t>
      </w:r>
      <w:r w:rsidR="00825062" w:rsidRPr="00AD36D9">
        <w:rPr>
          <w:rFonts w:ascii="Times New Roman" w:hAnsi="Times New Roman" w:cs="Times New Roman"/>
          <w:sz w:val="24"/>
          <w:szCs w:val="24"/>
        </w:rPr>
        <w:t xml:space="preserve"> for women</w:t>
      </w:r>
      <w:r w:rsidR="00573E9B">
        <w:rPr>
          <w:rFonts w:ascii="Times New Roman" w:hAnsi="Times New Roman" w:cs="Times New Roman"/>
          <w:sz w:val="24"/>
          <w:szCs w:val="24"/>
        </w:rPr>
        <w:t xml:space="preserve">. </w:t>
      </w:r>
      <w:r w:rsidRPr="00AD36D9">
        <w:rPr>
          <w:rFonts w:ascii="Times New Roman" w:hAnsi="Times New Roman" w:cs="Times New Roman"/>
          <w:sz w:val="24"/>
          <w:szCs w:val="24"/>
        </w:rPr>
        <w:t>How a student’s level of self-efficacy, and which of Bandura’s</w:t>
      </w:r>
      <w:r w:rsidR="00BC22AB">
        <w:rPr>
          <w:rFonts w:ascii="Times New Roman" w:hAnsi="Times New Roman" w:cs="Times New Roman"/>
          <w:sz w:val="24"/>
          <w:szCs w:val="24"/>
        </w:rPr>
        <w:t xml:space="preserve"> (1977)</w:t>
      </w:r>
      <w:r w:rsidRPr="00AD36D9">
        <w:rPr>
          <w:rFonts w:ascii="Times New Roman" w:hAnsi="Times New Roman" w:cs="Times New Roman"/>
          <w:sz w:val="24"/>
          <w:szCs w:val="24"/>
        </w:rPr>
        <w:t xml:space="preserve"> four sources of self-efficacy</w:t>
      </w:r>
      <w:r w:rsidR="00825062" w:rsidRPr="00AD36D9">
        <w:rPr>
          <w:rFonts w:ascii="Times New Roman" w:hAnsi="Times New Roman" w:cs="Times New Roman"/>
          <w:sz w:val="24"/>
          <w:szCs w:val="24"/>
        </w:rPr>
        <w:t>,</w:t>
      </w:r>
      <w:r w:rsidRPr="00AD36D9">
        <w:rPr>
          <w:rFonts w:ascii="Times New Roman" w:hAnsi="Times New Roman" w:cs="Times New Roman"/>
          <w:sz w:val="24"/>
          <w:szCs w:val="24"/>
        </w:rPr>
        <w:t xml:space="preserve"> impact</w:t>
      </w:r>
      <w:r w:rsidR="00825062" w:rsidRPr="00AD36D9">
        <w:rPr>
          <w:rFonts w:ascii="Times New Roman" w:hAnsi="Times New Roman" w:cs="Times New Roman"/>
          <w:sz w:val="24"/>
          <w:szCs w:val="24"/>
        </w:rPr>
        <w:t>s</w:t>
      </w:r>
      <w:r w:rsidRPr="00AD36D9">
        <w:rPr>
          <w:rFonts w:ascii="Times New Roman" w:hAnsi="Times New Roman" w:cs="Times New Roman"/>
          <w:sz w:val="24"/>
          <w:szCs w:val="24"/>
        </w:rPr>
        <w:t xml:space="preserve"> student</w:t>
      </w:r>
      <w:r w:rsidR="00BC22AB">
        <w:rPr>
          <w:rFonts w:ascii="Times New Roman" w:hAnsi="Times New Roman" w:cs="Times New Roman"/>
          <w:sz w:val="24"/>
          <w:szCs w:val="24"/>
        </w:rPr>
        <w:t>s</w:t>
      </w:r>
      <w:r w:rsidRPr="00AD36D9">
        <w:rPr>
          <w:rFonts w:ascii="Times New Roman" w:hAnsi="Times New Roman" w:cs="Times New Roman"/>
          <w:sz w:val="24"/>
          <w:szCs w:val="24"/>
        </w:rPr>
        <w:t xml:space="preserve">’ decision </w:t>
      </w:r>
      <w:r w:rsidR="00825062" w:rsidRPr="00AD36D9">
        <w:rPr>
          <w:rFonts w:ascii="Times New Roman" w:hAnsi="Times New Roman" w:cs="Times New Roman"/>
          <w:sz w:val="24"/>
          <w:szCs w:val="24"/>
        </w:rPr>
        <w:t>to enroll in a second year of physics</w:t>
      </w:r>
      <w:r w:rsidR="00F6571F" w:rsidRPr="00AD36D9">
        <w:rPr>
          <w:rFonts w:ascii="Times New Roman" w:hAnsi="Times New Roman" w:cs="Times New Roman"/>
          <w:sz w:val="24"/>
          <w:szCs w:val="24"/>
        </w:rPr>
        <w:t xml:space="preserve"> </w:t>
      </w:r>
      <w:r w:rsidRPr="00AD36D9">
        <w:rPr>
          <w:rFonts w:ascii="Times New Roman" w:hAnsi="Times New Roman" w:cs="Times New Roman"/>
          <w:sz w:val="24"/>
          <w:szCs w:val="24"/>
        </w:rPr>
        <w:t>must be explored</w:t>
      </w:r>
      <w:r w:rsidR="00825062" w:rsidRPr="00AD36D9">
        <w:rPr>
          <w:rFonts w:ascii="Times New Roman" w:hAnsi="Times New Roman" w:cs="Times New Roman"/>
          <w:sz w:val="24"/>
          <w:szCs w:val="24"/>
        </w:rPr>
        <w:t xml:space="preserve"> as part of this increased understanding</w:t>
      </w:r>
      <w:r w:rsidR="00736F31" w:rsidRPr="00AD36D9">
        <w:rPr>
          <w:rFonts w:ascii="Times New Roman" w:hAnsi="Times New Roman" w:cs="Times New Roman"/>
          <w:sz w:val="24"/>
          <w:szCs w:val="24"/>
        </w:rPr>
        <w:t xml:space="preserve">. </w:t>
      </w:r>
    </w:p>
    <w:p w14:paraId="4F974F5A" w14:textId="77777777" w:rsidR="00D558FD" w:rsidRDefault="00FB41AA" w:rsidP="00BA4A2D">
      <w:pPr>
        <w:widowControl w:val="0"/>
        <w:spacing w:after="0" w:line="480" w:lineRule="auto"/>
        <w:rPr>
          <w:rFonts w:ascii="Times New Roman" w:hAnsi="Times New Roman" w:cs="Times New Roman"/>
          <w:sz w:val="24"/>
          <w:szCs w:val="24"/>
        </w:rPr>
      </w:pPr>
      <w:r w:rsidRPr="00657F46">
        <w:rPr>
          <w:rFonts w:ascii="Times New Roman" w:hAnsi="Times New Roman" w:cs="Times New Roman"/>
          <w:sz w:val="24"/>
          <w:szCs w:val="24"/>
        </w:rPr>
        <w:tab/>
      </w:r>
    </w:p>
    <w:p w14:paraId="0270E91B" w14:textId="0A2ED8EB" w:rsidR="00D558FD" w:rsidRDefault="00D558FD"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19AA42FC" w14:textId="5EDCA840" w:rsidR="003F2B44" w:rsidRDefault="003F2B44" w:rsidP="00BA4A2D">
      <w:pPr>
        <w:pStyle w:val="Heading1"/>
        <w:jc w:val="center"/>
      </w:pPr>
      <w:bookmarkStart w:id="53" w:name="_Toc117501928"/>
      <w:r w:rsidRPr="00B67D2C">
        <w:lastRenderedPageBreak/>
        <w:t>Chapter 4: Data Analysis and Results</w:t>
      </w:r>
      <w:bookmarkEnd w:id="53"/>
    </w:p>
    <w:p w14:paraId="522F8B12" w14:textId="2DFA223E" w:rsidR="00963739" w:rsidRPr="00B67D2C" w:rsidRDefault="00963739" w:rsidP="00BA4A2D">
      <w:pPr>
        <w:pStyle w:val="Heading2"/>
      </w:pPr>
      <w:bookmarkStart w:id="54" w:name="_Toc117501929"/>
      <w:r>
        <w:t>Introduction</w:t>
      </w:r>
      <w:bookmarkEnd w:id="54"/>
    </w:p>
    <w:p w14:paraId="00A456C0" w14:textId="1739CDB3" w:rsidR="00963739" w:rsidRDefault="00963739" w:rsidP="00BA4A2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purpose of this study was to explore the impact self-efficacy plays in the </w:t>
      </w:r>
      <w:r w:rsidR="00617BD0">
        <w:rPr>
          <w:rFonts w:ascii="Times New Roman" w:hAnsi="Times New Roman" w:cs="Times New Roman"/>
          <w:sz w:val="24"/>
          <w:szCs w:val="24"/>
        </w:rPr>
        <w:t>decision</w:t>
      </w:r>
      <w:r>
        <w:rPr>
          <w:rFonts w:ascii="Times New Roman" w:hAnsi="Times New Roman" w:cs="Times New Roman"/>
          <w:sz w:val="24"/>
          <w:szCs w:val="24"/>
        </w:rPr>
        <w:t xml:space="preserve"> to enroll in a second year of high school physics. After controlling for physics knowledge growth and semester one grade, Bandura’s </w:t>
      </w:r>
      <w:r w:rsidR="00B753FD">
        <w:rPr>
          <w:rFonts w:ascii="Times New Roman" w:hAnsi="Times New Roman" w:cs="Times New Roman"/>
          <w:sz w:val="24"/>
          <w:szCs w:val="24"/>
        </w:rPr>
        <w:t xml:space="preserve">(1977) </w:t>
      </w:r>
      <w:r>
        <w:rPr>
          <w:rFonts w:ascii="Times New Roman" w:hAnsi="Times New Roman" w:cs="Times New Roman"/>
          <w:sz w:val="24"/>
          <w:szCs w:val="24"/>
        </w:rPr>
        <w:t>four sources of self</w:t>
      </w:r>
      <w:r w:rsidR="004932AA">
        <w:rPr>
          <w:rFonts w:ascii="Times New Roman" w:hAnsi="Times New Roman" w:cs="Times New Roman"/>
          <w:sz w:val="24"/>
          <w:szCs w:val="24"/>
        </w:rPr>
        <w:t>-</w:t>
      </w:r>
      <w:r>
        <w:rPr>
          <w:rFonts w:ascii="Times New Roman" w:hAnsi="Times New Roman" w:cs="Times New Roman"/>
          <w:sz w:val="24"/>
          <w:szCs w:val="24"/>
        </w:rPr>
        <w:t>efficacy were used as predictor variables. These variab</w:t>
      </w:r>
      <w:r w:rsidR="007369B8">
        <w:rPr>
          <w:rFonts w:ascii="Times New Roman" w:hAnsi="Times New Roman" w:cs="Times New Roman"/>
          <w:sz w:val="24"/>
          <w:szCs w:val="24"/>
        </w:rPr>
        <w:t>le</w:t>
      </w:r>
      <w:r>
        <w:rPr>
          <w:rFonts w:ascii="Times New Roman" w:hAnsi="Times New Roman" w:cs="Times New Roman"/>
          <w:sz w:val="24"/>
          <w:szCs w:val="24"/>
        </w:rPr>
        <w:t xml:space="preserve">s included: mastery experience, vicarious learning, social </w:t>
      </w:r>
      <w:r w:rsidR="00617BD0">
        <w:rPr>
          <w:rFonts w:ascii="Times New Roman" w:hAnsi="Times New Roman" w:cs="Times New Roman"/>
          <w:sz w:val="24"/>
          <w:szCs w:val="24"/>
        </w:rPr>
        <w:t>persuasion</w:t>
      </w:r>
      <w:r>
        <w:rPr>
          <w:rFonts w:ascii="Times New Roman" w:hAnsi="Times New Roman" w:cs="Times New Roman"/>
          <w:sz w:val="24"/>
          <w:szCs w:val="24"/>
        </w:rPr>
        <w:t xml:space="preserve">, and physiological state. </w:t>
      </w:r>
      <w:r w:rsidR="00257F87">
        <w:rPr>
          <w:rFonts w:ascii="Times New Roman" w:hAnsi="Times New Roman" w:cs="Times New Roman"/>
          <w:sz w:val="24"/>
          <w:szCs w:val="24"/>
        </w:rPr>
        <w:t xml:space="preserve">To address research question </w:t>
      </w:r>
      <w:r w:rsidR="003C3757">
        <w:rPr>
          <w:rFonts w:ascii="Times New Roman" w:hAnsi="Times New Roman" w:cs="Times New Roman"/>
          <w:sz w:val="24"/>
          <w:szCs w:val="24"/>
        </w:rPr>
        <w:t>#1</w:t>
      </w:r>
      <w:r w:rsidR="00257F87">
        <w:rPr>
          <w:rFonts w:ascii="Times New Roman" w:hAnsi="Times New Roman" w:cs="Times New Roman"/>
          <w:sz w:val="24"/>
          <w:szCs w:val="24"/>
        </w:rPr>
        <w:t>, a</w:t>
      </w:r>
      <w:r>
        <w:rPr>
          <w:rFonts w:ascii="Times New Roman" w:hAnsi="Times New Roman" w:cs="Times New Roman"/>
          <w:sz w:val="24"/>
          <w:szCs w:val="24"/>
        </w:rPr>
        <w:t xml:space="preserve"> </w:t>
      </w:r>
      <w:r w:rsidR="00624208">
        <w:rPr>
          <w:rFonts w:ascii="Times New Roman" w:hAnsi="Times New Roman" w:cs="Times New Roman"/>
          <w:sz w:val="24"/>
          <w:szCs w:val="24"/>
        </w:rPr>
        <w:t>multivariate binomial logistic regression was conducted using</w:t>
      </w:r>
      <w:r>
        <w:rPr>
          <w:rFonts w:ascii="Times New Roman" w:hAnsi="Times New Roman" w:cs="Times New Roman"/>
          <w:sz w:val="24"/>
          <w:szCs w:val="24"/>
        </w:rPr>
        <w:t xml:space="preserve"> all participants</w:t>
      </w:r>
      <w:r w:rsidR="00624208">
        <w:rPr>
          <w:rFonts w:ascii="Times New Roman" w:hAnsi="Times New Roman" w:cs="Times New Roman"/>
          <w:sz w:val="24"/>
          <w:szCs w:val="24"/>
        </w:rPr>
        <w:t>; afterwards,</w:t>
      </w:r>
      <w:r>
        <w:rPr>
          <w:rFonts w:ascii="Times New Roman" w:hAnsi="Times New Roman" w:cs="Times New Roman"/>
          <w:sz w:val="24"/>
          <w:szCs w:val="24"/>
        </w:rPr>
        <w:t xml:space="preserve"> two additional models were generated disaggregated by gender</w:t>
      </w:r>
      <w:r w:rsidR="00257F87">
        <w:rPr>
          <w:rFonts w:ascii="Times New Roman" w:hAnsi="Times New Roman" w:cs="Times New Roman"/>
          <w:sz w:val="24"/>
          <w:szCs w:val="24"/>
        </w:rPr>
        <w:t xml:space="preserve"> to address research question </w:t>
      </w:r>
      <w:r w:rsidR="003C3757">
        <w:rPr>
          <w:rFonts w:ascii="Times New Roman" w:hAnsi="Times New Roman" w:cs="Times New Roman"/>
          <w:sz w:val="24"/>
          <w:szCs w:val="24"/>
        </w:rPr>
        <w:t>#2</w:t>
      </w:r>
      <w:r>
        <w:rPr>
          <w:rFonts w:ascii="Times New Roman" w:hAnsi="Times New Roman" w:cs="Times New Roman"/>
          <w:sz w:val="24"/>
          <w:szCs w:val="24"/>
        </w:rPr>
        <w:t xml:space="preserve">. </w:t>
      </w:r>
    </w:p>
    <w:p w14:paraId="10948EF1" w14:textId="14E2542D" w:rsidR="003F2B44" w:rsidRDefault="00617BD0" w:rsidP="00BA4A2D">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Description</w:t>
      </w:r>
      <w:r w:rsidR="00963739">
        <w:rPr>
          <w:rFonts w:ascii="Times New Roman" w:hAnsi="Times New Roman" w:cs="Times New Roman"/>
          <w:b/>
          <w:sz w:val="24"/>
          <w:szCs w:val="24"/>
        </w:rPr>
        <w:t xml:space="preserve"> of Participants</w:t>
      </w:r>
    </w:p>
    <w:p w14:paraId="54C5A9E6" w14:textId="7BFF1EFD" w:rsidR="00EC1DA8" w:rsidRDefault="00963739"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process of inviting, obtaining consent, and instrument administration yielded 137 participants from the 2021-2022 school year. </w:t>
      </w:r>
      <w:r w:rsidR="00BC22AB">
        <w:rPr>
          <w:rFonts w:ascii="Times New Roman" w:hAnsi="Times New Roman" w:cs="Times New Roman"/>
          <w:sz w:val="24"/>
          <w:szCs w:val="24"/>
        </w:rPr>
        <w:t>Senior students or students</w:t>
      </w:r>
      <w:r>
        <w:rPr>
          <w:rFonts w:ascii="Times New Roman" w:hAnsi="Times New Roman" w:cs="Times New Roman"/>
          <w:sz w:val="24"/>
          <w:szCs w:val="24"/>
        </w:rPr>
        <w:t xml:space="preserve"> who </w:t>
      </w:r>
      <w:r w:rsidR="00A275C4">
        <w:rPr>
          <w:rFonts w:ascii="Times New Roman" w:hAnsi="Times New Roman" w:cs="Times New Roman"/>
          <w:sz w:val="24"/>
          <w:szCs w:val="24"/>
        </w:rPr>
        <w:t xml:space="preserve">did </w:t>
      </w:r>
      <w:r>
        <w:rPr>
          <w:rFonts w:ascii="Times New Roman" w:hAnsi="Times New Roman" w:cs="Times New Roman"/>
          <w:sz w:val="24"/>
          <w:szCs w:val="24"/>
        </w:rPr>
        <w:t>not have the appropriate math background were removed from the study</w:t>
      </w:r>
      <w:r w:rsidR="00BC22AB">
        <w:rPr>
          <w:rFonts w:ascii="Times New Roman" w:hAnsi="Times New Roman" w:cs="Times New Roman"/>
          <w:sz w:val="24"/>
          <w:szCs w:val="24"/>
        </w:rPr>
        <w:t>,</w:t>
      </w:r>
      <w:r>
        <w:rPr>
          <w:rFonts w:ascii="Times New Roman" w:hAnsi="Times New Roman" w:cs="Times New Roman"/>
          <w:sz w:val="24"/>
          <w:szCs w:val="24"/>
        </w:rPr>
        <w:t xml:space="preserve"> leaving 124 participants</w:t>
      </w:r>
      <w:r w:rsidR="00624208">
        <w:rPr>
          <w:rFonts w:ascii="Times New Roman" w:hAnsi="Times New Roman" w:cs="Times New Roman"/>
          <w:sz w:val="24"/>
          <w:szCs w:val="24"/>
        </w:rPr>
        <w:t xml:space="preserve"> (Table 3).</w:t>
      </w:r>
    </w:p>
    <w:p w14:paraId="1B383040" w14:textId="3278BC4A" w:rsidR="004D57BF" w:rsidRPr="00E34FCC" w:rsidRDefault="004D57BF" w:rsidP="00BA4A2D">
      <w:pPr>
        <w:widowControl w:val="0"/>
        <w:spacing w:after="0" w:line="480" w:lineRule="auto"/>
        <w:rPr>
          <w:rFonts w:ascii="Times New Roman" w:hAnsi="Times New Roman" w:cs="Times New Roman"/>
          <w:b/>
          <w:bCs/>
          <w:sz w:val="24"/>
          <w:szCs w:val="24"/>
        </w:rPr>
      </w:pPr>
      <w:r w:rsidRPr="00E34FCC">
        <w:rPr>
          <w:rFonts w:ascii="Times New Roman" w:hAnsi="Times New Roman" w:cs="Times New Roman"/>
          <w:b/>
          <w:bCs/>
          <w:sz w:val="24"/>
          <w:szCs w:val="24"/>
        </w:rPr>
        <w:t>Table 3</w:t>
      </w:r>
    </w:p>
    <w:p w14:paraId="51316B98" w14:textId="05ACAE37" w:rsidR="004D57BF" w:rsidRPr="004D57BF" w:rsidRDefault="00E34FCC" w:rsidP="00BA4A2D">
      <w:pPr>
        <w:widowControl w:val="0"/>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Physics Enrollment by Gender and Year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70"/>
        <w:gridCol w:w="295"/>
        <w:gridCol w:w="1145"/>
        <w:gridCol w:w="720"/>
        <w:gridCol w:w="810"/>
        <w:gridCol w:w="630"/>
        <w:gridCol w:w="990"/>
      </w:tblGrid>
      <w:tr w:rsidR="00AD11E0" w:rsidRPr="00BA4A2D" w14:paraId="244B1216" w14:textId="4A3185F8" w:rsidTr="00BA4A2D">
        <w:trPr>
          <w:cantSplit/>
          <w:trHeight w:hRule="exact" w:val="288"/>
        </w:trPr>
        <w:tc>
          <w:tcPr>
            <w:tcW w:w="1170" w:type="dxa"/>
            <w:tcBorders>
              <w:top w:val="single" w:sz="4" w:space="0" w:color="auto"/>
            </w:tcBorders>
          </w:tcPr>
          <w:p w14:paraId="75C3703F" w14:textId="77777777" w:rsidR="00AD11E0" w:rsidRPr="008665A1" w:rsidRDefault="00AD11E0" w:rsidP="00BA4A2D">
            <w:pPr>
              <w:widowControl w:val="0"/>
              <w:spacing w:after="0" w:line="240" w:lineRule="auto"/>
            </w:pPr>
          </w:p>
        </w:tc>
        <w:tc>
          <w:tcPr>
            <w:tcW w:w="1440" w:type="dxa"/>
            <w:gridSpan w:val="2"/>
            <w:tcBorders>
              <w:top w:val="single" w:sz="4" w:space="0" w:color="auto"/>
            </w:tcBorders>
          </w:tcPr>
          <w:p w14:paraId="11746423" w14:textId="22B2D4AA" w:rsidR="00AD11E0" w:rsidRPr="008665A1" w:rsidRDefault="00AD11E0" w:rsidP="00BA4A2D">
            <w:pPr>
              <w:widowControl w:val="0"/>
              <w:spacing w:after="0" w:line="240" w:lineRule="auto"/>
              <w:jc w:val="center"/>
            </w:pPr>
            <w:r w:rsidRPr="008665A1">
              <w:t>Sophomores</w:t>
            </w:r>
          </w:p>
        </w:tc>
        <w:tc>
          <w:tcPr>
            <w:tcW w:w="1530" w:type="dxa"/>
            <w:gridSpan w:val="2"/>
            <w:tcBorders>
              <w:top w:val="single" w:sz="4" w:space="0" w:color="auto"/>
            </w:tcBorders>
          </w:tcPr>
          <w:p w14:paraId="3AED9EE9" w14:textId="57A6525E" w:rsidR="00AD11E0" w:rsidRPr="008665A1" w:rsidRDefault="00AD11E0" w:rsidP="00BA4A2D">
            <w:pPr>
              <w:widowControl w:val="0"/>
              <w:spacing w:after="0" w:line="240" w:lineRule="auto"/>
              <w:jc w:val="center"/>
            </w:pPr>
            <w:r w:rsidRPr="008665A1">
              <w:t>Juniors</w:t>
            </w:r>
          </w:p>
        </w:tc>
        <w:tc>
          <w:tcPr>
            <w:tcW w:w="1620" w:type="dxa"/>
            <w:gridSpan w:val="2"/>
            <w:tcBorders>
              <w:top w:val="single" w:sz="4" w:space="0" w:color="auto"/>
            </w:tcBorders>
          </w:tcPr>
          <w:p w14:paraId="68ED4C64" w14:textId="5556521A" w:rsidR="00AD11E0" w:rsidRPr="008665A1" w:rsidRDefault="00AD11E0" w:rsidP="00BA4A2D">
            <w:pPr>
              <w:widowControl w:val="0"/>
              <w:spacing w:after="0" w:line="240" w:lineRule="auto"/>
              <w:jc w:val="center"/>
            </w:pPr>
            <w:r w:rsidRPr="008665A1">
              <w:t>All</w:t>
            </w:r>
          </w:p>
        </w:tc>
      </w:tr>
      <w:tr w:rsidR="00425081" w:rsidRPr="00BA4A2D" w14:paraId="4D8D94D6" w14:textId="77777777" w:rsidTr="00BA4A2D">
        <w:trPr>
          <w:cantSplit/>
          <w:trHeight w:val="288"/>
        </w:trPr>
        <w:tc>
          <w:tcPr>
            <w:tcW w:w="1170" w:type="dxa"/>
            <w:tcBorders>
              <w:bottom w:val="single" w:sz="4" w:space="0" w:color="auto"/>
            </w:tcBorders>
          </w:tcPr>
          <w:p w14:paraId="1C06A304" w14:textId="77777777" w:rsidR="00AD11E0" w:rsidRPr="008665A1" w:rsidRDefault="00AD11E0" w:rsidP="00BA4A2D">
            <w:pPr>
              <w:widowControl w:val="0"/>
              <w:spacing w:after="0" w:line="240" w:lineRule="auto"/>
              <w:jc w:val="center"/>
              <w:rPr>
                <w:i/>
              </w:rPr>
            </w:pPr>
          </w:p>
        </w:tc>
        <w:tc>
          <w:tcPr>
            <w:tcW w:w="295" w:type="dxa"/>
            <w:tcBorders>
              <w:bottom w:val="single" w:sz="4" w:space="0" w:color="auto"/>
            </w:tcBorders>
          </w:tcPr>
          <w:p w14:paraId="45A888F3" w14:textId="14AC87ED" w:rsidR="00AD11E0" w:rsidRPr="008665A1" w:rsidRDefault="00923624" w:rsidP="00BA4A2D">
            <w:pPr>
              <w:widowControl w:val="0"/>
              <w:spacing w:after="0" w:line="240" w:lineRule="auto"/>
              <w:jc w:val="center"/>
              <w:rPr>
                <w:i/>
              </w:rPr>
            </w:pPr>
            <w:r w:rsidRPr="008665A1">
              <w:rPr>
                <w:i/>
              </w:rPr>
              <w:t>n</w:t>
            </w:r>
          </w:p>
        </w:tc>
        <w:tc>
          <w:tcPr>
            <w:tcW w:w="1145" w:type="dxa"/>
            <w:tcBorders>
              <w:bottom w:val="single" w:sz="4" w:space="0" w:color="auto"/>
            </w:tcBorders>
          </w:tcPr>
          <w:p w14:paraId="6D9AAA77" w14:textId="080880C3" w:rsidR="00AD11E0" w:rsidRPr="008665A1" w:rsidRDefault="00923624" w:rsidP="00BA4A2D">
            <w:pPr>
              <w:widowControl w:val="0"/>
              <w:spacing w:after="0" w:line="240" w:lineRule="auto"/>
              <w:jc w:val="center"/>
              <w:rPr>
                <w:i/>
              </w:rPr>
            </w:pPr>
            <w:r w:rsidRPr="008665A1">
              <w:rPr>
                <w:i/>
              </w:rPr>
              <w:t>%</w:t>
            </w:r>
          </w:p>
        </w:tc>
        <w:tc>
          <w:tcPr>
            <w:tcW w:w="720" w:type="dxa"/>
            <w:tcBorders>
              <w:bottom w:val="single" w:sz="4" w:space="0" w:color="auto"/>
            </w:tcBorders>
          </w:tcPr>
          <w:p w14:paraId="618A8F6A" w14:textId="05C0F619" w:rsidR="00AD11E0" w:rsidRPr="008665A1" w:rsidRDefault="008665A1" w:rsidP="00BA4A2D">
            <w:pPr>
              <w:widowControl w:val="0"/>
              <w:spacing w:after="0" w:line="240" w:lineRule="auto"/>
              <w:jc w:val="center"/>
              <w:rPr>
                <w:i/>
              </w:rPr>
            </w:pPr>
            <w:r w:rsidRPr="008665A1">
              <w:rPr>
                <w:i/>
              </w:rPr>
              <w:t>N</w:t>
            </w:r>
          </w:p>
        </w:tc>
        <w:tc>
          <w:tcPr>
            <w:tcW w:w="810" w:type="dxa"/>
            <w:tcBorders>
              <w:bottom w:val="single" w:sz="4" w:space="0" w:color="auto"/>
            </w:tcBorders>
          </w:tcPr>
          <w:p w14:paraId="1BACBCD6" w14:textId="5D7FF67B" w:rsidR="00AD11E0" w:rsidRPr="008665A1" w:rsidRDefault="00923624" w:rsidP="00BA4A2D">
            <w:pPr>
              <w:widowControl w:val="0"/>
              <w:spacing w:after="0" w:line="240" w:lineRule="auto"/>
              <w:jc w:val="center"/>
              <w:rPr>
                <w:i/>
              </w:rPr>
            </w:pPr>
            <w:r w:rsidRPr="008665A1">
              <w:rPr>
                <w:i/>
              </w:rPr>
              <w:t>%</w:t>
            </w:r>
          </w:p>
        </w:tc>
        <w:tc>
          <w:tcPr>
            <w:tcW w:w="630" w:type="dxa"/>
            <w:tcBorders>
              <w:bottom w:val="single" w:sz="4" w:space="0" w:color="auto"/>
            </w:tcBorders>
          </w:tcPr>
          <w:p w14:paraId="4CD523BA" w14:textId="0B5976FB" w:rsidR="00AD11E0" w:rsidRPr="008665A1" w:rsidRDefault="00923624" w:rsidP="00BA4A2D">
            <w:pPr>
              <w:widowControl w:val="0"/>
              <w:spacing w:after="0" w:line="240" w:lineRule="auto"/>
              <w:jc w:val="center"/>
              <w:rPr>
                <w:i/>
              </w:rPr>
            </w:pPr>
            <w:r w:rsidRPr="008665A1">
              <w:rPr>
                <w:i/>
              </w:rPr>
              <w:t>n</w:t>
            </w:r>
          </w:p>
        </w:tc>
        <w:tc>
          <w:tcPr>
            <w:tcW w:w="990" w:type="dxa"/>
            <w:tcBorders>
              <w:bottom w:val="single" w:sz="4" w:space="0" w:color="auto"/>
            </w:tcBorders>
          </w:tcPr>
          <w:p w14:paraId="27C86313" w14:textId="4195428B" w:rsidR="00AD11E0" w:rsidRPr="008665A1" w:rsidRDefault="00923624" w:rsidP="00BA4A2D">
            <w:pPr>
              <w:widowControl w:val="0"/>
              <w:spacing w:after="0" w:line="240" w:lineRule="auto"/>
              <w:jc w:val="center"/>
              <w:rPr>
                <w:i/>
              </w:rPr>
            </w:pPr>
            <w:r w:rsidRPr="008665A1">
              <w:rPr>
                <w:i/>
              </w:rPr>
              <w:t>%</w:t>
            </w:r>
          </w:p>
        </w:tc>
      </w:tr>
      <w:tr w:rsidR="00425081" w:rsidRPr="00BA4A2D" w14:paraId="6D0499D1" w14:textId="7298753D" w:rsidTr="00BA4A2D">
        <w:trPr>
          <w:cantSplit/>
          <w:trHeight w:val="288"/>
        </w:trPr>
        <w:tc>
          <w:tcPr>
            <w:tcW w:w="1170" w:type="dxa"/>
            <w:tcBorders>
              <w:top w:val="single" w:sz="4" w:space="0" w:color="auto"/>
            </w:tcBorders>
          </w:tcPr>
          <w:p w14:paraId="6F019D65" w14:textId="74C05DE8" w:rsidR="00AD11E0" w:rsidRPr="00BA4A2D" w:rsidRDefault="00AD11E0" w:rsidP="00BA4A2D">
            <w:pPr>
              <w:widowControl w:val="0"/>
              <w:spacing w:after="0" w:line="240" w:lineRule="auto"/>
              <w:jc w:val="center"/>
            </w:pPr>
            <w:r w:rsidRPr="00BA4A2D">
              <w:t>Men</w:t>
            </w:r>
          </w:p>
        </w:tc>
        <w:tc>
          <w:tcPr>
            <w:tcW w:w="295" w:type="dxa"/>
            <w:tcBorders>
              <w:top w:val="single" w:sz="4" w:space="0" w:color="auto"/>
            </w:tcBorders>
          </w:tcPr>
          <w:p w14:paraId="1E391B03" w14:textId="2CDB0EFA" w:rsidR="00AD11E0" w:rsidRPr="00BA4A2D" w:rsidRDefault="00AD11E0" w:rsidP="00BA4A2D">
            <w:pPr>
              <w:widowControl w:val="0"/>
              <w:spacing w:after="0" w:line="240" w:lineRule="auto"/>
              <w:jc w:val="center"/>
            </w:pPr>
            <w:r w:rsidRPr="00BA4A2D">
              <w:t>1</w:t>
            </w:r>
          </w:p>
        </w:tc>
        <w:tc>
          <w:tcPr>
            <w:tcW w:w="1145" w:type="dxa"/>
            <w:tcBorders>
              <w:top w:val="single" w:sz="4" w:space="0" w:color="auto"/>
            </w:tcBorders>
          </w:tcPr>
          <w:p w14:paraId="5A8782C7" w14:textId="5A90692B" w:rsidR="00AD11E0" w:rsidRPr="00BA4A2D" w:rsidRDefault="00AD11E0" w:rsidP="00BA4A2D">
            <w:pPr>
              <w:widowControl w:val="0"/>
              <w:spacing w:after="0" w:line="240" w:lineRule="auto"/>
              <w:jc w:val="center"/>
            </w:pPr>
            <w:r w:rsidRPr="00BA4A2D">
              <w:t>0.83</w:t>
            </w:r>
          </w:p>
        </w:tc>
        <w:tc>
          <w:tcPr>
            <w:tcW w:w="720" w:type="dxa"/>
            <w:tcBorders>
              <w:top w:val="single" w:sz="4" w:space="0" w:color="auto"/>
            </w:tcBorders>
          </w:tcPr>
          <w:p w14:paraId="0FCE00E2" w14:textId="3932522E" w:rsidR="00AD11E0" w:rsidRPr="00BA4A2D" w:rsidRDefault="00AD11E0" w:rsidP="00BA4A2D">
            <w:pPr>
              <w:widowControl w:val="0"/>
              <w:spacing w:after="0" w:line="240" w:lineRule="auto"/>
              <w:jc w:val="center"/>
            </w:pPr>
            <w:r w:rsidRPr="00BA4A2D">
              <w:t>60</w:t>
            </w:r>
          </w:p>
        </w:tc>
        <w:tc>
          <w:tcPr>
            <w:tcW w:w="810" w:type="dxa"/>
            <w:tcBorders>
              <w:top w:val="single" w:sz="4" w:space="0" w:color="auto"/>
            </w:tcBorders>
          </w:tcPr>
          <w:p w14:paraId="2818F997" w14:textId="37CD23E4" w:rsidR="00AD11E0" w:rsidRPr="00BA4A2D" w:rsidRDefault="00923624" w:rsidP="00BA4A2D">
            <w:pPr>
              <w:widowControl w:val="0"/>
              <w:spacing w:after="0" w:line="240" w:lineRule="auto"/>
              <w:jc w:val="center"/>
            </w:pPr>
            <w:r w:rsidRPr="00BA4A2D">
              <w:t>50</w:t>
            </w:r>
          </w:p>
        </w:tc>
        <w:tc>
          <w:tcPr>
            <w:tcW w:w="630" w:type="dxa"/>
            <w:tcBorders>
              <w:top w:val="single" w:sz="4" w:space="0" w:color="auto"/>
            </w:tcBorders>
          </w:tcPr>
          <w:p w14:paraId="30050D30" w14:textId="48F63340" w:rsidR="00AD11E0" w:rsidRPr="00BA4A2D" w:rsidRDefault="00AD11E0" w:rsidP="00BA4A2D">
            <w:pPr>
              <w:widowControl w:val="0"/>
              <w:spacing w:after="0" w:line="240" w:lineRule="auto"/>
              <w:jc w:val="center"/>
            </w:pPr>
            <w:r w:rsidRPr="00BA4A2D">
              <w:t>61</w:t>
            </w:r>
          </w:p>
        </w:tc>
        <w:tc>
          <w:tcPr>
            <w:tcW w:w="990" w:type="dxa"/>
            <w:tcBorders>
              <w:top w:val="single" w:sz="4" w:space="0" w:color="auto"/>
            </w:tcBorders>
          </w:tcPr>
          <w:p w14:paraId="5DD687FD" w14:textId="3F4AFAC9" w:rsidR="00AD11E0" w:rsidRPr="00BA4A2D" w:rsidRDefault="00923624" w:rsidP="00BA4A2D">
            <w:pPr>
              <w:widowControl w:val="0"/>
              <w:spacing w:after="0" w:line="240" w:lineRule="auto"/>
              <w:jc w:val="center"/>
            </w:pPr>
            <w:r w:rsidRPr="00BA4A2D">
              <w:t>50.83</w:t>
            </w:r>
          </w:p>
        </w:tc>
      </w:tr>
      <w:tr w:rsidR="00425081" w:rsidRPr="00BA4A2D" w14:paraId="48082ABB" w14:textId="0A2BE53B" w:rsidTr="00BA4A2D">
        <w:trPr>
          <w:cantSplit/>
          <w:trHeight w:val="288"/>
        </w:trPr>
        <w:tc>
          <w:tcPr>
            <w:tcW w:w="1170" w:type="dxa"/>
          </w:tcPr>
          <w:p w14:paraId="648DDE36" w14:textId="3593E60F" w:rsidR="00AD11E0" w:rsidRPr="00BA4A2D" w:rsidRDefault="00AD11E0" w:rsidP="00BA4A2D">
            <w:pPr>
              <w:widowControl w:val="0"/>
              <w:spacing w:after="0" w:line="240" w:lineRule="auto"/>
              <w:jc w:val="center"/>
            </w:pPr>
            <w:r w:rsidRPr="00BA4A2D">
              <w:t>Women</w:t>
            </w:r>
          </w:p>
        </w:tc>
        <w:tc>
          <w:tcPr>
            <w:tcW w:w="295" w:type="dxa"/>
          </w:tcPr>
          <w:p w14:paraId="60C629CB" w14:textId="513FAA89" w:rsidR="00AD11E0" w:rsidRPr="00BA4A2D" w:rsidRDefault="00AD11E0" w:rsidP="00BA4A2D">
            <w:pPr>
              <w:widowControl w:val="0"/>
              <w:spacing w:after="0" w:line="240" w:lineRule="auto"/>
              <w:jc w:val="center"/>
            </w:pPr>
            <w:r w:rsidRPr="00BA4A2D">
              <w:t>2</w:t>
            </w:r>
          </w:p>
        </w:tc>
        <w:tc>
          <w:tcPr>
            <w:tcW w:w="1145" w:type="dxa"/>
          </w:tcPr>
          <w:p w14:paraId="711402FF" w14:textId="24D7291E" w:rsidR="00AD11E0" w:rsidRPr="00BA4A2D" w:rsidRDefault="00923624" w:rsidP="00BA4A2D">
            <w:pPr>
              <w:widowControl w:val="0"/>
              <w:spacing w:after="0" w:line="240" w:lineRule="auto"/>
              <w:jc w:val="center"/>
            </w:pPr>
            <w:r w:rsidRPr="00BA4A2D">
              <w:t>1.67</w:t>
            </w:r>
          </w:p>
        </w:tc>
        <w:tc>
          <w:tcPr>
            <w:tcW w:w="720" w:type="dxa"/>
          </w:tcPr>
          <w:p w14:paraId="2D3E3F1E" w14:textId="1BB104DB" w:rsidR="00AD11E0" w:rsidRPr="00BA4A2D" w:rsidRDefault="00AD11E0" w:rsidP="00BA4A2D">
            <w:pPr>
              <w:widowControl w:val="0"/>
              <w:spacing w:after="0" w:line="240" w:lineRule="auto"/>
              <w:jc w:val="center"/>
            </w:pPr>
            <w:r w:rsidRPr="00BA4A2D">
              <w:t>57</w:t>
            </w:r>
          </w:p>
        </w:tc>
        <w:tc>
          <w:tcPr>
            <w:tcW w:w="810" w:type="dxa"/>
          </w:tcPr>
          <w:p w14:paraId="6A4197BE" w14:textId="640AA174" w:rsidR="00AD11E0" w:rsidRPr="00BA4A2D" w:rsidRDefault="00923624" w:rsidP="00BA4A2D">
            <w:pPr>
              <w:widowControl w:val="0"/>
              <w:spacing w:after="0" w:line="240" w:lineRule="auto"/>
              <w:jc w:val="center"/>
            </w:pPr>
            <w:r w:rsidRPr="00BA4A2D">
              <w:t>47.5</w:t>
            </w:r>
          </w:p>
        </w:tc>
        <w:tc>
          <w:tcPr>
            <w:tcW w:w="630" w:type="dxa"/>
          </w:tcPr>
          <w:p w14:paraId="0AB75ECF" w14:textId="612BD970" w:rsidR="00AD11E0" w:rsidRPr="00BA4A2D" w:rsidRDefault="00AD11E0" w:rsidP="00BA4A2D">
            <w:pPr>
              <w:widowControl w:val="0"/>
              <w:spacing w:after="0" w:line="240" w:lineRule="auto"/>
              <w:jc w:val="center"/>
            </w:pPr>
            <w:r w:rsidRPr="00BA4A2D">
              <w:t>59</w:t>
            </w:r>
          </w:p>
        </w:tc>
        <w:tc>
          <w:tcPr>
            <w:tcW w:w="990" w:type="dxa"/>
          </w:tcPr>
          <w:p w14:paraId="5105C6A0" w14:textId="627DD4AC" w:rsidR="00AD11E0" w:rsidRPr="00BA4A2D" w:rsidRDefault="00923624" w:rsidP="00BA4A2D">
            <w:pPr>
              <w:widowControl w:val="0"/>
              <w:spacing w:after="0" w:line="240" w:lineRule="auto"/>
              <w:jc w:val="center"/>
            </w:pPr>
            <w:r w:rsidRPr="00BA4A2D">
              <w:t>49.17</w:t>
            </w:r>
          </w:p>
        </w:tc>
      </w:tr>
      <w:tr w:rsidR="00425081" w:rsidRPr="00BA4A2D" w14:paraId="5A326EDE" w14:textId="65A1B8D2" w:rsidTr="00BA4A2D">
        <w:trPr>
          <w:cantSplit/>
          <w:trHeight w:val="288"/>
        </w:trPr>
        <w:tc>
          <w:tcPr>
            <w:tcW w:w="1170" w:type="dxa"/>
            <w:tcBorders>
              <w:bottom w:val="single" w:sz="4" w:space="0" w:color="auto"/>
            </w:tcBorders>
          </w:tcPr>
          <w:p w14:paraId="7C5C10B0" w14:textId="0899A47E" w:rsidR="00AD11E0" w:rsidRPr="00BA4A2D" w:rsidRDefault="00AD11E0" w:rsidP="00BA4A2D">
            <w:pPr>
              <w:widowControl w:val="0"/>
              <w:spacing w:after="0" w:line="240" w:lineRule="auto"/>
              <w:jc w:val="center"/>
            </w:pPr>
            <w:r w:rsidRPr="00BA4A2D">
              <w:t>All</w:t>
            </w:r>
          </w:p>
        </w:tc>
        <w:tc>
          <w:tcPr>
            <w:tcW w:w="295" w:type="dxa"/>
            <w:tcBorders>
              <w:bottom w:val="single" w:sz="4" w:space="0" w:color="auto"/>
            </w:tcBorders>
          </w:tcPr>
          <w:p w14:paraId="591DF06A" w14:textId="50516CE4" w:rsidR="00AD11E0" w:rsidRPr="00BA4A2D" w:rsidRDefault="00AD11E0" w:rsidP="00BA4A2D">
            <w:pPr>
              <w:widowControl w:val="0"/>
              <w:spacing w:after="0" w:line="240" w:lineRule="auto"/>
              <w:jc w:val="center"/>
            </w:pPr>
            <w:r w:rsidRPr="00BA4A2D">
              <w:t>3</w:t>
            </w:r>
          </w:p>
        </w:tc>
        <w:tc>
          <w:tcPr>
            <w:tcW w:w="1145" w:type="dxa"/>
            <w:tcBorders>
              <w:bottom w:val="single" w:sz="4" w:space="0" w:color="auto"/>
            </w:tcBorders>
          </w:tcPr>
          <w:p w14:paraId="22AABD7A" w14:textId="6539F716" w:rsidR="00AD11E0" w:rsidRPr="00BA4A2D" w:rsidRDefault="00923624" w:rsidP="00BA4A2D">
            <w:pPr>
              <w:widowControl w:val="0"/>
              <w:spacing w:after="0" w:line="240" w:lineRule="auto"/>
              <w:jc w:val="center"/>
            </w:pPr>
            <w:r w:rsidRPr="00BA4A2D">
              <w:t>2.5</w:t>
            </w:r>
          </w:p>
        </w:tc>
        <w:tc>
          <w:tcPr>
            <w:tcW w:w="720" w:type="dxa"/>
            <w:tcBorders>
              <w:bottom w:val="single" w:sz="4" w:space="0" w:color="auto"/>
            </w:tcBorders>
          </w:tcPr>
          <w:p w14:paraId="6C9CE60D" w14:textId="27C3EEBE" w:rsidR="00AD11E0" w:rsidRPr="00BA4A2D" w:rsidRDefault="00AD11E0" w:rsidP="00BA4A2D">
            <w:pPr>
              <w:widowControl w:val="0"/>
              <w:spacing w:after="0" w:line="240" w:lineRule="auto"/>
              <w:jc w:val="center"/>
            </w:pPr>
            <w:r w:rsidRPr="00BA4A2D">
              <w:t>117</w:t>
            </w:r>
          </w:p>
        </w:tc>
        <w:tc>
          <w:tcPr>
            <w:tcW w:w="810" w:type="dxa"/>
            <w:tcBorders>
              <w:bottom w:val="single" w:sz="4" w:space="0" w:color="auto"/>
            </w:tcBorders>
          </w:tcPr>
          <w:p w14:paraId="2378EDDB" w14:textId="714FA396" w:rsidR="00AD11E0" w:rsidRPr="00BA4A2D" w:rsidRDefault="00923624" w:rsidP="00BA4A2D">
            <w:pPr>
              <w:widowControl w:val="0"/>
              <w:spacing w:after="0" w:line="240" w:lineRule="auto"/>
              <w:jc w:val="center"/>
            </w:pPr>
            <w:r w:rsidRPr="00BA4A2D">
              <w:t>97.5</w:t>
            </w:r>
          </w:p>
        </w:tc>
        <w:tc>
          <w:tcPr>
            <w:tcW w:w="630" w:type="dxa"/>
            <w:tcBorders>
              <w:bottom w:val="single" w:sz="4" w:space="0" w:color="auto"/>
            </w:tcBorders>
          </w:tcPr>
          <w:p w14:paraId="6210D787" w14:textId="7167501A" w:rsidR="00AD11E0" w:rsidRPr="00BA4A2D" w:rsidRDefault="00AD11E0" w:rsidP="00BA4A2D">
            <w:pPr>
              <w:widowControl w:val="0"/>
              <w:spacing w:after="0" w:line="240" w:lineRule="auto"/>
              <w:jc w:val="center"/>
            </w:pPr>
            <w:r w:rsidRPr="00BA4A2D">
              <w:t>120</w:t>
            </w:r>
          </w:p>
        </w:tc>
        <w:tc>
          <w:tcPr>
            <w:tcW w:w="990" w:type="dxa"/>
            <w:tcBorders>
              <w:bottom w:val="single" w:sz="4" w:space="0" w:color="auto"/>
            </w:tcBorders>
          </w:tcPr>
          <w:p w14:paraId="083C422F" w14:textId="38FD4F10" w:rsidR="00AD11E0" w:rsidRPr="00BA4A2D" w:rsidRDefault="00923624" w:rsidP="00BA4A2D">
            <w:pPr>
              <w:widowControl w:val="0"/>
              <w:spacing w:after="0" w:line="240" w:lineRule="auto"/>
              <w:jc w:val="center"/>
            </w:pPr>
            <w:r w:rsidRPr="00BA4A2D">
              <w:t>100</w:t>
            </w:r>
          </w:p>
        </w:tc>
      </w:tr>
      <w:tr w:rsidR="00425081" w:rsidRPr="00BA4A2D" w14:paraId="27E0EE93" w14:textId="0AC3BC26" w:rsidTr="00BA4A2D">
        <w:trPr>
          <w:trHeight w:val="432"/>
        </w:trPr>
        <w:tc>
          <w:tcPr>
            <w:tcW w:w="1170" w:type="dxa"/>
            <w:tcBorders>
              <w:top w:val="single" w:sz="4" w:space="0" w:color="auto"/>
            </w:tcBorders>
          </w:tcPr>
          <w:p w14:paraId="5BD41516" w14:textId="3534AF4B" w:rsidR="00AD11E0" w:rsidRPr="008665A1" w:rsidRDefault="00AD11E0" w:rsidP="00BA4A2D">
            <w:pPr>
              <w:widowControl w:val="0"/>
              <w:spacing w:after="0" w:line="240" w:lineRule="auto"/>
            </w:pPr>
          </w:p>
        </w:tc>
        <w:tc>
          <w:tcPr>
            <w:tcW w:w="295" w:type="dxa"/>
            <w:tcBorders>
              <w:top w:val="single" w:sz="4" w:space="0" w:color="auto"/>
            </w:tcBorders>
          </w:tcPr>
          <w:p w14:paraId="2EEF3B25" w14:textId="77777777" w:rsidR="00AD11E0" w:rsidRPr="008665A1" w:rsidRDefault="00AD11E0" w:rsidP="00BA4A2D">
            <w:pPr>
              <w:widowControl w:val="0"/>
              <w:spacing w:after="0" w:line="240" w:lineRule="auto"/>
            </w:pPr>
          </w:p>
        </w:tc>
        <w:tc>
          <w:tcPr>
            <w:tcW w:w="1145" w:type="dxa"/>
            <w:tcBorders>
              <w:top w:val="single" w:sz="4" w:space="0" w:color="auto"/>
            </w:tcBorders>
          </w:tcPr>
          <w:p w14:paraId="584B8C03" w14:textId="77777777" w:rsidR="00AD11E0" w:rsidRPr="008665A1" w:rsidRDefault="00AD11E0" w:rsidP="00BA4A2D">
            <w:pPr>
              <w:widowControl w:val="0"/>
              <w:spacing w:after="0" w:line="240" w:lineRule="auto"/>
            </w:pPr>
          </w:p>
        </w:tc>
        <w:tc>
          <w:tcPr>
            <w:tcW w:w="720" w:type="dxa"/>
            <w:tcBorders>
              <w:top w:val="single" w:sz="4" w:space="0" w:color="auto"/>
            </w:tcBorders>
          </w:tcPr>
          <w:p w14:paraId="2ABCCBBD" w14:textId="0B33AB9E" w:rsidR="00AD11E0" w:rsidRPr="008665A1" w:rsidRDefault="00AD11E0" w:rsidP="00BA4A2D">
            <w:pPr>
              <w:widowControl w:val="0"/>
              <w:spacing w:after="0" w:line="240" w:lineRule="auto"/>
            </w:pPr>
          </w:p>
        </w:tc>
        <w:tc>
          <w:tcPr>
            <w:tcW w:w="810" w:type="dxa"/>
            <w:tcBorders>
              <w:top w:val="single" w:sz="4" w:space="0" w:color="auto"/>
            </w:tcBorders>
          </w:tcPr>
          <w:p w14:paraId="356AD574" w14:textId="77777777" w:rsidR="00AD11E0" w:rsidRPr="008665A1" w:rsidRDefault="00AD11E0" w:rsidP="00BA4A2D">
            <w:pPr>
              <w:widowControl w:val="0"/>
              <w:spacing w:after="0" w:line="240" w:lineRule="auto"/>
            </w:pPr>
          </w:p>
        </w:tc>
        <w:tc>
          <w:tcPr>
            <w:tcW w:w="630" w:type="dxa"/>
            <w:tcBorders>
              <w:top w:val="single" w:sz="4" w:space="0" w:color="auto"/>
            </w:tcBorders>
          </w:tcPr>
          <w:p w14:paraId="3A99AF2C" w14:textId="7149C080" w:rsidR="00AD11E0" w:rsidRPr="008665A1" w:rsidRDefault="00AD11E0" w:rsidP="00BA4A2D">
            <w:pPr>
              <w:widowControl w:val="0"/>
              <w:spacing w:after="0" w:line="240" w:lineRule="auto"/>
            </w:pPr>
          </w:p>
        </w:tc>
        <w:tc>
          <w:tcPr>
            <w:tcW w:w="990" w:type="dxa"/>
            <w:tcBorders>
              <w:top w:val="single" w:sz="4" w:space="0" w:color="auto"/>
            </w:tcBorders>
          </w:tcPr>
          <w:p w14:paraId="1215C4B1" w14:textId="3B294DC7" w:rsidR="00AD11E0" w:rsidRPr="008665A1" w:rsidRDefault="00AD11E0" w:rsidP="00BA4A2D">
            <w:pPr>
              <w:widowControl w:val="0"/>
              <w:spacing w:after="0" w:line="240" w:lineRule="auto"/>
            </w:pPr>
          </w:p>
        </w:tc>
      </w:tr>
    </w:tbl>
    <w:p w14:paraId="079F0EB9" w14:textId="0554BBA9" w:rsidR="00EA071E" w:rsidRDefault="00EA071E" w:rsidP="00BC22AB">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 analysis of the Mahalanobis distance for all cases identified four outliers which were removed from </w:t>
      </w:r>
      <w:r w:rsidR="00617BD0">
        <w:rPr>
          <w:rFonts w:ascii="Times New Roman" w:hAnsi="Times New Roman" w:cs="Times New Roman"/>
          <w:sz w:val="24"/>
          <w:szCs w:val="24"/>
        </w:rPr>
        <w:t>analysis</w:t>
      </w:r>
      <w:r>
        <w:rPr>
          <w:rFonts w:ascii="Times New Roman" w:hAnsi="Times New Roman" w:cs="Times New Roman"/>
          <w:sz w:val="24"/>
          <w:szCs w:val="24"/>
        </w:rPr>
        <w:t xml:space="preserve"> leaving 120 cases for this study.</w:t>
      </w:r>
      <w:r w:rsidR="00C52DCC">
        <w:rPr>
          <w:rFonts w:ascii="Times New Roman" w:hAnsi="Times New Roman" w:cs="Times New Roman"/>
          <w:sz w:val="24"/>
          <w:szCs w:val="24"/>
        </w:rPr>
        <w:t xml:space="preserve"> </w:t>
      </w:r>
      <w:r>
        <w:rPr>
          <w:rFonts w:ascii="Times New Roman" w:hAnsi="Times New Roman" w:cs="Times New Roman"/>
          <w:sz w:val="24"/>
          <w:szCs w:val="24"/>
        </w:rPr>
        <w:t xml:space="preserve">Men and women were nearly equally represented in the study while </w:t>
      </w:r>
      <w:r w:rsidR="008665A1">
        <w:rPr>
          <w:rFonts w:ascii="Times New Roman" w:hAnsi="Times New Roman" w:cs="Times New Roman"/>
          <w:sz w:val="24"/>
          <w:szCs w:val="24"/>
        </w:rPr>
        <w:t>most</w:t>
      </w:r>
      <w:r>
        <w:rPr>
          <w:rFonts w:ascii="Times New Roman" w:hAnsi="Times New Roman" w:cs="Times New Roman"/>
          <w:sz w:val="24"/>
          <w:szCs w:val="24"/>
        </w:rPr>
        <w:t xml:space="preserve"> participants were juniors at the research site</w:t>
      </w:r>
      <w:r w:rsidR="00C52DCC">
        <w:rPr>
          <w:rFonts w:ascii="Times New Roman" w:hAnsi="Times New Roman" w:cs="Times New Roman"/>
          <w:sz w:val="24"/>
          <w:szCs w:val="24"/>
        </w:rPr>
        <w:t>.</w:t>
      </w:r>
    </w:p>
    <w:p w14:paraId="6908D17C" w14:textId="6DC6BDB6" w:rsidR="00BC22AB" w:rsidRDefault="00BC22AB" w:rsidP="00BC22AB">
      <w:pPr>
        <w:widowControl w:val="0"/>
        <w:spacing w:after="0" w:line="480" w:lineRule="auto"/>
        <w:ind w:firstLine="720"/>
        <w:rPr>
          <w:rFonts w:ascii="Times New Roman" w:hAnsi="Times New Roman" w:cs="Times New Roman"/>
          <w:sz w:val="24"/>
          <w:szCs w:val="24"/>
        </w:rPr>
      </w:pPr>
    </w:p>
    <w:p w14:paraId="7C68E341" w14:textId="77777777" w:rsidR="00BC22AB" w:rsidRDefault="00BC22AB" w:rsidP="00BA4A2D">
      <w:pPr>
        <w:widowControl w:val="0"/>
        <w:spacing w:after="0" w:line="480" w:lineRule="auto"/>
        <w:ind w:firstLine="720"/>
        <w:rPr>
          <w:rFonts w:ascii="Times New Roman" w:hAnsi="Times New Roman" w:cs="Times New Roman"/>
          <w:b/>
          <w:sz w:val="24"/>
          <w:szCs w:val="24"/>
        </w:rPr>
      </w:pPr>
    </w:p>
    <w:p w14:paraId="4CD829C8" w14:textId="15D0D599" w:rsidR="00963739" w:rsidRDefault="00963739" w:rsidP="00BA4A2D">
      <w:pPr>
        <w:pStyle w:val="Heading2"/>
      </w:pPr>
      <w:bookmarkStart w:id="55" w:name="_Toc117501930"/>
      <w:r>
        <w:lastRenderedPageBreak/>
        <w:t>Analysis Procedure</w:t>
      </w:r>
      <w:bookmarkEnd w:id="55"/>
    </w:p>
    <w:p w14:paraId="07FA08D3" w14:textId="08C30505" w:rsidR="00963739" w:rsidRDefault="00963739" w:rsidP="00BA4A2D">
      <w:pPr>
        <w:widowControl w:val="0"/>
        <w:spacing w:after="0" w:line="480" w:lineRule="auto"/>
        <w:rPr>
          <w:rFonts w:ascii="Times New Roman" w:hAnsi="Times New Roman" w:cs="Times New Roman"/>
          <w:b/>
          <w:sz w:val="24"/>
          <w:szCs w:val="24"/>
        </w:rPr>
      </w:pPr>
      <w:r>
        <w:rPr>
          <w:rFonts w:ascii="Times New Roman" w:hAnsi="Times New Roman" w:cs="Times New Roman"/>
          <w:b/>
          <w:sz w:val="24"/>
          <w:szCs w:val="24"/>
        </w:rPr>
        <w:t>Variables</w:t>
      </w:r>
      <w:r w:rsidR="00AC1EED">
        <w:rPr>
          <w:rFonts w:ascii="Times New Roman" w:hAnsi="Times New Roman" w:cs="Times New Roman"/>
          <w:b/>
          <w:sz w:val="24"/>
          <w:szCs w:val="24"/>
        </w:rPr>
        <w:t xml:space="preserve"> Included</w:t>
      </w:r>
    </w:p>
    <w:p w14:paraId="6B4641B4" w14:textId="263E3F3E" w:rsidR="00A675BD" w:rsidRDefault="00AC1EED"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Data </w:t>
      </w:r>
      <w:r w:rsidR="00AF5110">
        <w:rPr>
          <w:rFonts w:ascii="Times New Roman" w:hAnsi="Times New Roman" w:cs="Times New Roman"/>
          <w:sz w:val="24"/>
          <w:szCs w:val="24"/>
        </w:rPr>
        <w:t xml:space="preserve">were </w:t>
      </w:r>
      <w:r>
        <w:rPr>
          <w:rFonts w:ascii="Times New Roman" w:hAnsi="Times New Roman" w:cs="Times New Roman"/>
          <w:sz w:val="24"/>
          <w:szCs w:val="24"/>
        </w:rPr>
        <w:t xml:space="preserve">provided by the school district and gathered </w:t>
      </w:r>
      <w:r w:rsidR="00257F87">
        <w:rPr>
          <w:rFonts w:ascii="Times New Roman" w:hAnsi="Times New Roman" w:cs="Times New Roman"/>
          <w:sz w:val="24"/>
          <w:szCs w:val="24"/>
        </w:rPr>
        <w:t>through</w:t>
      </w:r>
      <w:r>
        <w:rPr>
          <w:rFonts w:ascii="Times New Roman" w:hAnsi="Times New Roman" w:cs="Times New Roman"/>
          <w:sz w:val="24"/>
          <w:szCs w:val="24"/>
        </w:rPr>
        <w:t xml:space="preserve"> the administration of the Student </w:t>
      </w:r>
      <w:r w:rsidR="00617BD0">
        <w:rPr>
          <w:rFonts w:ascii="Times New Roman" w:hAnsi="Times New Roman" w:cs="Times New Roman"/>
          <w:sz w:val="24"/>
          <w:szCs w:val="24"/>
        </w:rPr>
        <w:t>Demographics</w:t>
      </w:r>
      <w:r>
        <w:rPr>
          <w:rFonts w:ascii="Times New Roman" w:hAnsi="Times New Roman" w:cs="Times New Roman"/>
          <w:sz w:val="24"/>
          <w:szCs w:val="24"/>
        </w:rPr>
        <w:t xml:space="preserve"> Survey as well as the SOSESC-P </w:t>
      </w:r>
      <w:r w:rsidR="00617BD0">
        <w:rPr>
          <w:rFonts w:ascii="Times New Roman" w:hAnsi="Times New Roman" w:cs="Times New Roman"/>
          <w:sz w:val="24"/>
          <w:szCs w:val="24"/>
        </w:rPr>
        <w:t>instruments</w:t>
      </w:r>
      <w:r>
        <w:rPr>
          <w:rFonts w:ascii="Times New Roman" w:hAnsi="Times New Roman" w:cs="Times New Roman"/>
          <w:sz w:val="24"/>
          <w:szCs w:val="24"/>
        </w:rPr>
        <w:t>. This study include</w:t>
      </w:r>
      <w:r w:rsidR="00CC66DB">
        <w:rPr>
          <w:rFonts w:ascii="Times New Roman" w:hAnsi="Times New Roman" w:cs="Times New Roman"/>
          <w:sz w:val="24"/>
          <w:szCs w:val="24"/>
        </w:rPr>
        <w:t>d</w:t>
      </w:r>
      <w:r>
        <w:rPr>
          <w:rFonts w:ascii="Times New Roman" w:hAnsi="Times New Roman" w:cs="Times New Roman"/>
          <w:sz w:val="24"/>
          <w:szCs w:val="24"/>
        </w:rPr>
        <w:t xml:space="preserve"> one dependent variable and six independent variables.</w:t>
      </w:r>
      <w:r w:rsidR="000262DE">
        <w:rPr>
          <w:rFonts w:ascii="Times New Roman" w:hAnsi="Times New Roman" w:cs="Times New Roman"/>
          <w:sz w:val="24"/>
          <w:szCs w:val="24"/>
        </w:rPr>
        <w:t xml:space="preserve"> The mean and standard deviation are reported for the</w:t>
      </w:r>
      <w:r w:rsidR="00707AE2">
        <w:rPr>
          <w:rFonts w:ascii="Times New Roman" w:hAnsi="Times New Roman" w:cs="Times New Roman"/>
          <w:sz w:val="24"/>
          <w:szCs w:val="24"/>
        </w:rPr>
        <w:t xml:space="preserve"> two control variables and</w:t>
      </w:r>
      <w:r w:rsidR="000262DE">
        <w:rPr>
          <w:rFonts w:ascii="Times New Roman" w:hAnsi="Times New Roman" w:cs="Times New Roman"/>
          <w:sz w:val="24"/>
          <w:szCs w:val="24"/>
        </w:rPr>
        <w:t xml:space="preserve"> </w:t>
      </w:r>
      <w:r w:rsidR="00707AE2">
        <w:rPr>
          <w:rFonts w:ascii="Times New Roman" w:hAnsi="Times New Roman" w:cs="Times New Roman"/>
          <w:sz w:val="24"/>
          <w:szCs w:val="24"/>
        </w:rPr>
        <w:t xml:space="preserve">four </w:t>
      </w:r>
      <w:r w:rsidR="000262DE">
        <w:rPr>
          <w:rFonts w:ascii="Times New Roman" w:hAnsi="Times New Roman" w:cs="Times New Roman"/>
          <w:sz w:val="24"/>
          <w:szCs w:val="24"/>
        </w:rPr>
        <w:t>predictor variables (Table 4).</w:t>
      </w:r>
    </w:p>
    <w:p w14:paraId="78769452" w14:textId="77777777" w:rsidR="00A675BD" w:rsidRPr="00E34FCC" w:rsidRDefault="00A675BD" w:rsidP="00BA4A2D">
      <w:pPr>
        <w:widowControl w:val="0"/>
        <w:spacing w:after="0" w:line="480" w:lineRule="auto"/>
        <w:rPr>
          <w:rFonts w:ascii="Times New Roman" w:hAnsi="Times New Roman" w:cs="Times New Roman"/>
          <w:b/>
          <w:bCs/>
          <w:sz w:val="24"/>
          <w:szCs w:val="24"/>
        </w:rPr>
      </w:pPr>
      <w:r w:rsidRPr="00E34FCC">
        <w:rPr>
          <w:rFonts w:ascii="Times New Roman" w:hAnsi="Times New Roman" w:cs="Times New Roman"/>
          <w:b/>
          <w:bCs/>
          <w:sz w:val="24"/>
          <w:szCs w:val="24"/>
        </w:rPr>
        <w:t>Table 4</w:t>
      </w:r>
    </w:p>
    <w:p w14:paraId="7824F929" w14:textId="3D0CF395" w:rsidR="00A675BD" w:rsidRDefault="00A675BD" w:rsidP="00BA4A2D">
      <w:pPr>
        <w:widowControl w:val="0"/>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Descriptive Statistics </w:t>
      </w:r>
      <w:r w:rsidR="00956952">
        <w:rPr>
          <w:rFonts w:ascii="Times New Roman" w:hAnsi="Times New Roman" w:cs="Times New Roman"/>
          <w:i/>
          <w:sz w:val="24"/>
          <w:szCs w:val="24"/>
        </w:rPr>
        <w:t xml:space="preserve">for Predictors of </w:t>
      </w:r>
      <w:r w:rsidR="008159B8">
        <w:rPr>
          <w:rFonts w:ascii="Times New Roman" w:hAnsi="Times New Roman" w:cs="Times New Roman"/>
          <w:i/>
          <w:sz w:val="24"/>
          <w:szCs w:val="24"/>
        </w:rPr>
        <w:t xml:space="preserve">Second-year </w:t>
      </w:r>
      <w:r w:rsidR="008665A1">
        <w:rPr>
          <w:rFonts w:ascii="Times New Roman" w:hAnsi="Times New Roman" w:cs="Times New Roman"/>
          <w:i/>
          <w:sz w:val="24"/>
          <w:szCs w:val="24"/>
        </w:rPr>
        <w:t>P</w:t>
      </w:r>
      <w:r w:rsidR="008159B8">
        <w:rPr>
          <w:rFonts w:ascii="Times New Roman" w:hAnsi="Times New Roman" w:cs="Times New Roman"/>
          <w:i/>
          <w:sz w:val="24"/>
          <w:szCs w:val="24"/>
        </w:rPr>
        <w:t>hysics</w:t>
      </w:r>
      <w:r w:rsidR="00956952">
        <w:rPr>
          <w:rFonts w:ascii="Times New Roman" w:hAnsi="Times New Roman" w:cs="Times New Roman"/>
          <w:i/>
          <w:sz w:val="24"/>
          <w:szCs w:val="24"/>
        </w:rPr>
        <w:t xml:space="preserve"> Enrollment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
      <w:tblGrid>
        <w:gridCol w:w="1700"/>
        <w:gridCol w:w="1697"/>
        <w:gridCol w:w="2003"/>
        <w:gridCol w:w="1890"/>
      </w:tblGrid>
      <w:tr w:rsidR="00A675BD" w14:paraId="3974F0CF" w14:textId="77777777" w:rsidTr="00BA4A2D">
        <w:trPr>
          <w:trHeight w:hRule="exact" w:val="290"/>
        </w:trPr>
        <w:tc>
          <w:tcPr>
            <w:tcW w:w="1700" w:type="dxa"/>
            <w:tcBorders>
              <w:top w:val="single" w:sz="4" w:space="0" w:color="auto"/>
            </w:tcBorders>
          </w:tcPr>
          <w:p w14:paraId="3D777EF9" w14:textId="77777777" w:rsidR="00A675BD" w:rsidRPr="007E2F5D" w:rsidRDefault="00A675BD" w:rsidP="00BA4A2D">
            <w:pPr>
              <w:widowControl w:val="0"/>
              <w:spacing w:after="0" w:line="240" w:lineRule="auto"/>
              <w:jc w:val="center"/>
              <w:rPr>
                <w:i/>
              </w:rPr>
            </w:pPr>
          </w:p>
        </w:tc>
        <w:tc>
          <w:tcPr>
            <w:tcW w:w="1697" w:type="dxa"/>
            <w:tcBorders>
              <w:top w:val="single" w:sz="4" w:space="0" w:color="auto"/>
            </w:tcBorders>
          </w:tcPr>
          <w:p w14:paraId="2C4EF1A5" w14:textId="16A776A6" w:rsidR="00A675BD" w:rsidRPr="00BA5E94" w:rsidRDefault="00A675BD" w:rsidP="00BA4A2D">
            <w:pPr>
              <w:widowControl w:val="0"/>
              <w:spacing w:after="0" w:line="240" w:lineRule="auto"/>
              <w:jc w:val="center"/>
              <w:rPr>
                <w:i/>
              </w:rPr>
            </w:pPr>
            <w:r w:rsidRPr="00860722">
              <w:t>Men</w:t>
            </w:r>
            <w:r w:rsidR="00BA5E94">
              <w:t xml:space="preserve"> </w:t>
            </w:r>
            <w:r w:rsidR="00BA5E94">
              <w:rPr>
                <w:i/>
              </w:rPr>
              <w:t>(n</w:t>
            </w:r>
            <w:r w:rsidR="008665A1">
              <w:rPr>
                <w:i/>
              </w:rPr>
              <w:t xml:space="preserve"> </w:t>
            </w:r>
            <w:r w:rsidR="00BA5E94">
              <w:rPr>
                <w:i/>
              </w:rPr>
              <w:t>=</w:t>
            </w:r>
            <w:r w:rsidR="008665A1">
              <w:rPr>
                <w:i/>
              </w:rPr>
              <w:t xml:space="preserve"> </w:t>
            </w:r>
            <w:r w:rsidR="00BA5E94">
              <w:rPr>
                <w:i/>
              </w:rPr>
              <w:t>61)</w:t>
            </w:r>
          </w:p>
        </w:tc>
        <w:tc>
          <w:tcPr>
            <w:tcW w:w="2003" w:type="dxa"/>
            <w:tcBorders>
              <w:top w:val="single" w:sz="4" w:space="0" w:color="auto"/>
            </w:tcBorders>
          </w:tcPr>
          <w:p w14:paraId="6B9922F3" w14:textId="3D0AE143" w:rsidR="00A675BD" w:rsidRPr="007E2F5D" w:rsidRDefault="00A675BD" w:rsidP="00BA4A2D">
            <w:pPr>
              <w:widowControl w:val="0"/>
              <w:spacing w:after="0" w:line="240" w:lineRule="auto"/>
              <w:jc w:val="center"/>
              <w:rPr>
                <w:i/>
              </w:rPr>
            </w:pPr>
            <w:r>
              <w:rPr>
                <w:i/>
              </w:rPr>
              <w:t>Women</w:t>
            </w:r>
            <w:r w:rsidR="00BA5E94">
              <w:rPr>
                <w:i/>
              </w:rPr>
              <w:t xml:space="preserve"> (n</w:t>
            </w:r>
            <w:r w:rsidR="008665A1">
              <w:rPr>
                <w:i/>
              </w:rPr>
              <w:t xml:space="preserve"> </w:t>
            </w:r>
            <w:r w:rsidR="00BA5E94">
              <w:rPr>
                <w:i/>
              </w:rPr>
              <w:t>=</w:t>
            </w:r>
            <w:r w:rsidR="008665A1">
              <w:rPr>
                <w:i/>
              </w:rPr>
              <w:t xml:space="preserve"> </w:t>
            </w:r>
            <w:r w:rsidR="00BA5E94">
              <w:rPr>
                <w:i/>
              </w:rPr>
              <w:t>59)</w:t>
            </w:r>
          </w:p>
        </w:tc>
        <w:tc>
          <w:tcPr>
            <w:tcW w:w="1890" w:type="dxa"/>
            <w:tcBorders>
              <w:top w:val="single" w:sz="4" w:space="0" w:color="auto"/>
            </w:tcBorders>
          </w:tcPr>
          <w:p w14:paraId="6CDEC693" w14:textId="34E96E9A" w:rsidR="00A675BD" w:rsidRPr="007E2F5D" w:rsidRDefault="00A675BD" w:rsidP="00BA4A2D">
            <w:pPr>
              <w:widowControl w:val="0"/>
              <w:spacing w:after="0" w:line="240" w:lineRule="auto"/>
              <w:jc w:val="center"/>
              <w:rPr>
                <w:i/>
              </w:rPr>
            </w:pPr>
            <w:r>
              <w:rPr>
                <w:i/>
              </w:rPr>
              <w:t>All</w:t>
            </w:r>
            <w:r w:rsidR="00BA5E94">
              <w:rPr>
                <w:i/>
              </w:rPr>
              <w:t xml:space="preserve"> (</w:t>
            </w:r>
            <w:r w:rsidR="008665A1">
              <w:rPr>
                <w:i/>
              </w:rPr>
              <w:t xml:space="preserve">n </w:t>
            </w:r>
            <w:r w:rsidR="00BA5E94">
              <w:rPr>
                <w:i/>
              </w:rPr>
              <w:t>=</w:t>
            </w:r>
            <w:r w:rsidR="008665A1">
              <w:rPr>
                <w:i/>
              </w:rPr>
              <w:t xml:space="preserve"> </w:t>
            </w:r>
            <w:r w:rsidR="00BA5E94">
              <w:rPr>
                <w:i/>
              </w:rPr>
              <w:t>120)</w:t>
            </w:r>
          </w:p>
        </w:tc>
      </w:tr>
      <w:tr w:rsidR="00A675BD" w14:paraId="2A6B547F" w14:textId="77777777" w:rsidTr="00BA4A2D">
        <w:trPr>
          <w:trHeight w:hRule="exact" w:val="288"/>
        </w:trPr>
        <w:tc>
          <w:tcPr>
            <w:tcW w:w="1700" w:type="dxa"/>
            <w:tcBorders>
              <w:bottom w:val="single" w:sz="4" w:space="0" w:color="auto"/>
            </w:tcBorders>
          </w:tcPr>
          <w:p w14:paraId="56471555" w14:textId="77777777" w:rsidR="00A675BD" w:rsidRDefault="00A675BD" w:rsidP="00BA4A2D">
            <w:pPr>
              <w:widowControl w:val="0"/>
              <w:spacing w:after="0" w:line="240" w:lineRule="auto"/>
            </w:pPr>
          </w:p>
        </w:tc>
        <w:tc>
          <w:tcPr>
            <w:tcW w:w="1697" w:type="dxa"/>
            <w:tcBorders>
              <w:bottom w:val="single" w:sz="4" w:space="0" w:color="auto"/>
            </w:tcBorders>
          </w:tcPr>
          <w:p w14:paraId="000A3972" w14:textId="36383ABB" w:rsidR="00A675BD" w:rsidRPr="00860722" w:rsidRDefault="00A675BD" w:rsidP="00BA4A2D">
            <w:pPr>
              <w:widowControl w:val="0"/>
              <w:spacing w:after="0" w:line="240" w:lineRule="auto"/>
              <w:jc w:val="center"/>
              <w:rPr>
                <w:i/>
              </w:rPr>
            </w:pPr>
            <w:r>
              <w:rPr>
                <w:i/>
              </w:rPr>
              <w:t>M (SD)</w:t>
            </w:r>
          </w:p>
        </w:tc>
        <w:tc>
          <w:tcPr>
            <w:tcW w:w="2003" w:type="dxa"/>
            <w:tcBorders>
              <w:bottom w:val="single" w:sz="4" w:space="0" w:color="auto"/>
            </w:tcBorders>
          </w:tcPr>
          <w:p w14:paraId="234A7C8B" w14:textId="77777777" w:rsidR="00A675BD" w:rsidRPr="00860722" w:rsidRDefault="00A675BD" w:rsidP="00BA4A2D">
            <w:pPr>
              <w:widowControl w:val="0"/>
              <w:spacing w:after="0" w:line="240" w:lineRule="auto"/>
              <w:jc w:val="center"/>
              <w:rPr>
                <w:i/>
              </w:rPr>
            </w:pPr>
            <w:r>
              <w:rPr>
                <w:i/>
              </w:rPr>
              <w:t>M (SD)</w:t>
            </w:r>
          </w:p>
        </w:tc>
        <w:tc>
          <w:tcPr>
            <w:tcW w:w="1890" w:type="dxa"/>
            <w:tcBorders>
              <w:bottom w:val="single" w:sz="4" w:space="0" w:color="auto"/>
            </w:tcBorders>
          </w:tcPr>
          <w:p w14:paraId="7B98A7D3" w14:textId="77777777" w:rsidR="00A675BD" w:rsidRPr="00860722" w:rsidRDefault="00A675BD" w:rsidP="00BA4A2D">
            <w:pPr>
              <w:widowControl w:val="0"/>
              <w:spacing w:after="0" w:line="240" w:lineRule="auto"/>
              <w:jc w:val="center"/>
              <w:rPr>
                <w:i/>
              </w:rPr>
            </w:pPr>
            <w:r>
              <w:rPr>
                <w:i/>
              </w:rPr>
              <w:t>M (SD)</w:t>
            </w:r>
          </w:p>
        </w:tc>
      </w:tr>
      <w:tr w:rsidR="00A675BD" w14:paraId="6A201CD5" w14:textId="77777777" w:rsidTr="00BA4A2D">
        <w:trPr>
          <w:trHeight w:hRule="exact" w:val="345"/>
        </w:trPr>
        <w:tc>
          <w:tcPr>
            <w:tcW w:w="1700" w:type="dxa"/>
            <w:tcBorders>
              <w:top w:val="single" w:sz="4" w:space="0" w:color="auto"/>
            </w:tcBorders>
          </w:tcPr>
          <w:p w14:paraId="729555F0" w14:textId="77777777" w:rsidR="00A675BD" w:rsidRPr="00E34FCC" w:rsidRDefault="00A675BD" w:rsidP="00BA4A2D">
            <w:pPr>
              <w:widowControl w:val="0"/>
              <w:spacing w:after="0" w:line="240" w:lineRule="auto"/>
              <w:rPr>
                <w:iCs/>
              </w:rPr>
            </w:pPr>
            <w:r w:rsidRPr="00E34FCC">
              <w:rPr>
                <w:iCs/>
              </w:rPr>
              <w:t>S1G</w:t>
            </w:r>
          </w:p>
        </w:tc>
        <w:tc>
          <w:tcPr>
            <w:tcW w:w="1697" w:type="dxa"/>
            <w:tcBorders>
              <w:top w:val="single" w:sz="4" w:space="0" w:color="auto"/>
            </w:tcBorders>
          </w:tcPr>
          <w:p w14:paraId="660ED52A" w14:textId="77777777" w:rsidR="00A675BD" w:rsidRDefault="00A675BD" w:rsidP="00BA4A2D">
            <w:pPr>
              <w:widowControl w:val="0"/>
              <w:spacing w:after="0" w:line="240" w:lineRule="auto"/>
              <w:jc w:val="right"/>
            </w:pPr>
            <w:r>
              <w:t>8.89 (1.63)</w:t>
            </w:r>
          </w:p>
        </w:tc>
        <w:tc>
          <w:tcPr>
            <w:tcW w:w="2003" w:type="dxa"/>
            <w:tcBorders>
              <w:top w:val="single" w:sz="4" w:space="0" w:color="auto"/>
            </w:tcBorders>
          </w:tcPr>
          <w:p w14:paraId="6214AB8F" w14:textId="77777777" w:rsidR="00A675BD" w:rsidRDefault="00A675BD" w:rsidP="00BA4A2D">
            <w:pPr>
              <w:widowControl w:val="0"/>
              <w:spacing w:after="0" w:line="240" w:lineRule="auto"/>
              <w:jc w:val="right"/>
            </w:pPr>
            <w:r>
              <w:t>9.64 (1.47)</w:t>
            </w:r>
          </w:p>
        </w:tc>
        <w:tc>
          <w:tcPr>
            <w:tcW w:w="1890" w:type="dxa"/>
            <w:tcBorders>
              <w:top w:val="single" w:sz="4" w:space="0" w:color="auto"/>
            </w:tcBorders>
          </w:tcPr>
          <w:p w14:paraId="4E067E17" w14:textId="77777777" w:rsidR="00A675BD" w:rsidRDefault="00A675BD" w:rsidP="00BA4A2D">
            <w:pPr>
              <w:widowControl w:val="0"/>
              <w:spacing w:after="0" w:line="240" w:lineRule="auto"/>
              <w:jc w:val="right"/>
            </w:pPr>
            <w:r>
              <w:t>9.26 (1.60)</w:t>
            </w:r>
          </w:p>
        </w:tc>
      </w:tr>
      <w:tr w:rsidR="00A675BD" w14:paraId="51650BE6" w14:textId="77777777" w:rsidTr="00BA4A2D">
        <w:trPr>
          <w:trHeight w:hRule="exact" w:val="243"/>
        </w:trPr>
        <w:tc>
          <w:tcPr>
            <w:tcW w:w="1700" w:type="dxa"/>
          </w:tcPr>
          <w:p w14:paraId="6CFF0778" w14:textId="77777777" w:rsidR="00A675BD" w:rsidRPr="00E34FCC" w:rsidRDefault="00A675BD" w:rsidP="00BA4A2D">
            <w:pPr>
              <w:widowControl w:val="0"/>
              <w:spacing w:after="0" w:line="240" w:lineRule="auto"/>
              <w:rPr>
                <w:iCs/>
              </w:rPr>
            </w:pPr>
            <w:r w:rsidRPr="00E34FCC">
              <w:rPr>
                <w:iCs/>
              </w:rPr>
              <w:t>PKG</w:t>
            </w:r>
          </w:p>
        </w:tc>
        <w:tc>
          <w:tcPr>
            <w:tcW w:w="1697" w:type="dxa"/>
          </w:tcPr>
          <w:p w14:paraId="0ECE7C9C" w14:textId="77777777" w:rsidR="00A675BD" w:rsidRDefault="00A675BD" w:rsidP="00BA4A2D">
            <w:pPr>
              <w:widowControl w:val="0"/>
              <w:spacing w:after="0" w:line="240" w:lineRule="auto"/>
              <w:jc w:val="right"/>
            </w:pPr>
            <w:r>
              <w:t>12.99 (4.37)</w:t>
            </w:r>
          </w:p>
        </w:tc>
        <w:tc>
          <w:tcPr>
            <w:tcW w:w="2003" w:type="dxa"/>
          </w:tcPr>
          <w:p w14:paraId="228F2372" w14:textId="77777777" w:rsidR="00A675BD" w:rsidRDefault="00A675BD" w:rsidP="00BA4A2D">
            <w:pPr>
              <w:widowControl w:val="0"/>
              <w:spacing w:after="0" w:line="240" w:lineRule="auto"/>
              <w:jc w:val="right"/>
            </w:pPr>
            <w:r>
              <w:t>12.29 (3.86)</w:t>
            </w:r>
          </w:p>
        </w:tc>
        <w:tc>
          <w:tcPr>
            <w:tcW w:w="1890" w:type="dxa"/>
          </w:tcPr>
          <w:p w14:paraId="684F9DC9" w14:textId="77777777" w:rsidR="00A675BD" w:rsidRDefault="00A675BD" w:rsidP="00BA4A2D">
            <w:pPr>
              <w:widowControl w:val="0"/>
              <w:spacing w:after="0" w:line="240" w:lineRule="auto"/>
              <w:jc w:val="right"/>
            </w:pPr>
            <w:r>
              <w:t>12.65 (4.12)</w:t>
            </w:r>
          </w:p>
        </w:tc>
      </w:tr>
      <w:tr w:rsidR="00A675BD" w14:paraId="6A4B4323" w14:textId="77777777" w:rsidTr="00BA4A2D">
        <w:trPr>
          <w:trHeight w:hRule="exact" w:val="279"/>
        </w:trPr>
        <w:tc>
          <w:tcPr>
            <w:tcW w:w="1700" w:type="dxa"/>
          </w:tcPr>
          <w:p w14:paraId="2C865544" w14:textId="77777777" w:rsidR="00A675BD" w:rsidRPr="00E34FCC" w:rsidRDefault="00A675BD" w:rsidP="00BA4A2D">
            <w:pPr>
              <w:widowControl w:val="0"/>
              <w:spacing w:after="0" w:line="240" w:lineRule="auto"/>
              <w:rPr>
                <w:iCs/>
              </w:rPr>
            </w:pPr>
            <w:r w:rsidRPr="00E34FCC">
              <w:rPr>
                <w:iCs/>
              </w:rPr>
              <w:t>ME</w:t>
            </w:r>
          </w:p>
        </w:tc>
        <w:tc>
          <w:tcPr>
            <w:tcW w:w="1697" w:type="dxa"/>
          </w:tcPr>
          <w:p w14:paraId="3881DBF5" w14:textId="77777777" w:rsidR="00A675BD" w:rsidRDefault="00A675BD" w:rsidP="00BA4A2D">
            <w:pPr>
              <w:widowControl w:val="0"/>
              <w:spacing w:after="0" w:line="240" w:lineRule="auto"/>
              <w:jc w:val="right"/>
            </w:pPr>
            <w:r>
              <w:t>3.17 (0.53)</w:t>
            </w:r>
          </w:p>
        </w:tc>
        <w:tc>
          <w:tcPr>
            <w:tcW w:w="2003" w:type="dxa"/>
          </w:tcPr>
          <w:p w14:paraId="68E02011" w14:textId="77777777" w:rsidR="00A675BD" w:rsidRDefault="00A675BD" w:rsidP="00BA4A2D">
            <w:pPr>
              <w:widowControl w:val="0"/>
              <w:spacing w:after="0" w:line="240" w:lineRule="auto"/>
              <w:jc w:val="right"/>
            </w:pPr>
            <w:r>
              <w:t>2.97 (0.57)</w:t>
            </w:r>
          </w:p>
        </w:tc>
        <w:tc>
          <w:tcPr>
            <w:tcW w:w="1890" w:type="dxa"/>
          </w:tcPr>
          <w:p w14:paraId="793B12C0" w14:textId="77777777" w:rsidR="00A675BD" w:rsidRDefault="00A675BD" w:rsidP="00BA4A2D">
            <w:pPr>
              <w:widowControl w:val="0"/>
              <w:spacing w:after="0" w:line="240" w:lineRule="auto"/>
              <w:jc w:val="right"/>
            </w:pPr>
            <w:r>
              <w:t>3.07 (0.55)</w:t>
            </w:r>
          </w:p>
        </w:tc>
      </w:tr>
      <w:tr w:rsidR="00A675BD" w14:paraId="035578E6" w14:textId="77777777" w:rsidTr="00BA4A2D">
        <w:trPr>
          <w:trHeight w:hRule="exact" w:val="261"/>
        </w:trPr>
        <w:tc>
          <w:tcPr>
            <w:tcW w:w="1700" w:type="dxa"/>
          </w:tcPr>
          <w:p w14:paraId="645B8B6D" w14:textId="77777777" w:rsidR="00A675BD" w:rsidRPr="00E34FCC" w:rsidRDefault="00A675BD" w:rsidP="00BA4A2D">
            <w:pPr>
              <w:widowControl w:val="0"/>
              <w:spacing w:after="0" w:line="240" w:lineRule="auto"/>
              <w:rPr>
                <w:iCs/>
              </w:rPr>
            </w:pPr>
            <w:r w:rsidRPr="00E34FCC">
              <w:rPr>
                <w:iCs/>
              </w:rPr>
              <w:t>VL</w:t>
            </w:r>
          </w:p>
        </w:tc>
        <w:tc>
          <w:tcPr>
            <w:tcW w:w="1697" w:type="dxa"/>
          </w:tcPr>
          <w:p w14:paraId="2700BC27" w14:textId="77777777" w:rsidR="00A675BD" w:rsidRDefault="00A675BD" w:rsidP="00BA4A2D">
            <w:pPr>
              <w:widowControl w:val="0"/>
              <w:spacing w:after="0" w:line="240" w:lineRule="auto"/>
              <w:jc w:val="right"/>
            </w:pPr>
            <w:r>
              <w:t>3.34 (0.65)</w:t>
            </w:r>
          </w:p>
        </w:tc>
        <w:tc>
          <w:tcPr>
            <w:tcW w:w="2003" w:type="dxa"/>
          </w:tcPr>
          <w:p w14:paraId="623ED8B1" w14:textId="77777777" w:rsidR="00A675BD" w:rsidRDefault="00A675BD" w:rsidP="00BA4A2D">
            <w:pPr>
              <w:widowControl w:val="0"/>
              <w:spacing w:after="0" w:line="240" w:lineRule="auto"/>
              <w:jc w:val="right"/>
            </w:pPr>
            <w:r>
              <w:t>3.00 (0.69)</w:t>
            </w:r>
          </w:p>
        </w:tc>
        <w:tc>
          <w:tcPr>
            <w:tcW w:w="1890" w:type="dxa"/>
          </w:tcPr>
          <w:p w14:paraId="200BE4CE" w14:textId="77777777" w:rsidR="00A675BD" w:rsidRDefault="00A675BD" w:rsidP="00BA4A2D">
            <w:pPr>
              <w:widowControl w:val="0"/>
              <w:spacing w:after="0" w:line="240" w:lineRule="auto"/>
              <w:jc w:val="right"/>
            </w:pPr>
            <w:r>
              <w:t>3.17 (0.69)</w:t>
            </w:r>
          </w:p>
        </w:tc>
      </w:tr>
      <w:tr w:rsidR="00A675BD" w14:paraId="29B70A14" w14:textId="77777777" w:rsidTr="00BA4A2D">
        <w:trPr>
          <w:trHeight w:hRule="exact" w:val="270"/>
        </w:trPr>
        <w:tc>
          <w:tcPr>
            <w:tcW w:w="1700" w:type="dxa"/>
          </w:tcPr>
          <w:p w14:paraId="010BBCAA" w14:textId="77777777" w:rsidR="00A675BD" w:rsidRPr="00E34FCC" w:rsidRDefault="00A675BD" w:rsidP="00BA4A2D">
            <w:pPr>
              <w:widowControl w:val="0"/>
              <w:spacing w:after="0" w:line="240" w:lineRule="auto"/>
              <w:rPr>
                <w:iCs/>
              </w:rPr>
            </w:pPr>
            <w:r w:rsidRPr="00E34FCC">
              <w:rPr>
                <w:iCs/>
              </w:rPr>
              <w:t>SP</w:t>
            </w:r>
          </w:p>
        </w:tc>
        <w:tc>
          <w:tcPr>
            <w:tcW w:w="1697" w:type="dxa"/>
          </w:tcPr>
          <w:p w14:paraId="3A518692" w14:textId="77777777" w:rsidR="00A675BD" w:rsidRDefault="00A675BD" w:rsidP="00BA4A2D">
            <w:pPr>
              <w:widowControl w:val="0"/>
              <w:spacing w:after="0" w:line="240" w:lineRule="auto"/>
              <w:jc w:val="right"/>
            </w:pPr>
            <w:r>
              <w:t>3.66 (0.48)</w:t>
            </w:r>
          </w:p>
        </w:tc>
        <w:tc>
          <w:tcPr>
            <w:tcW w:w="2003" w:type="dxa"/>
          </w:tcPr>
          <w:p w14:paraId="64A46D73" w14:textId="77777777" w:rsidR="00A675BD" w:rsidRDefault="00A675BD" w:rsidP="00BA4A2D">
            <w:pPr>
              <w:widowControl w:val="0"/>
              <w:spacing w:after="0" w:line="240" w:lineRule="auto"/>
              <w:jc w:val="right"/>
            </w:pPr>
            <w:r>
              <w:t>3.52 (0.57)</w:t>
            </w:r>
          </w:p>
        </w:tc>
        <w:tc>
          <w:tcPr>
            <w:tcW w:w="1890" w:type="dxa"/>
          </w:tcPr>
          <w:p w14:paraId="1307B4FD" w14:textId="77777777" w:rsidR="00A675BD" w:rsidRDefault="00A675BD" w:rsidP="00BA4A2D">
            <w:pPr>
              <w:widowControl w:val="0"/>
              <w:spacing w:after="0" w:line="240" w:lineRule="auto"/>
              <w:jc w:val="right"/>
            </w:pPr>
            <w:r>
              <w:t>3.59 (0.53)</w:t>
            </w:r>
          </w:p>
        </w:tc>
      </w:tr>
      <w:tr w:rsidR="00A675BD" w14:paraId="31B3ACB2" w14:textId="77777777" w:rsidTr="00BA4A2D">
        <w:trPr>
          <w:trHeight w:hRule="exact" w:val="270"/>
        </w:trPr>
        <w:tc>
          <w:tcPr>
            <w:tcW w:w="1700" w:type="dxa"/>
            <w:tcBorders>
              <w:bottom w:val="single" w:sz="4" w:space="0" w:color="auto"/>
            </w:tcBorders>
          </w:tcPr>
          <w:p w14:paraId="6E0A75A2" w14:textId="77777777" w:rsidR="00A675BD" w:rsidRPr="00E34FCC" w:rsidRDefault="00A675BD" w:rsidP="00BA4A2D">
            <w:pPr>
              <w:widowControl w:val="0"/>
              <w:spacing w:after="0" w:line="240" w:lineRule="auto"/>
              <w:rPr>
                <w:iCs/>
              </w:rPr>
            </w:pPr>
            <w:r w:rsidRPr="00E34FCC">
              <w:rPr>
                <w:iCs/>
              </w:rPr>
              <w:t>PS</w:t>
            </w:r>
          </w:p>
        </w:tc>
        <w:tc>
          <w:tcPr>
            <w:tcW w:w="1697" w:type="dxa"/>
            <w:tcBorders>
              <w:bottom w:val="single" w:sz="4" w:space="0" w:color="auto"/>
            </w:tcBorders>
          </w:tcPr>
          <w:p w14:paraId="224FB5EC" w14:textId="77777777" w:rsidR="00A675BD" w:rsidRDefault="00A675BD" w:rsidP="00BA4A2D">
            <w:pPr>
              <w:widowControl w:val="0"/>
              <w:spacing w:after="0" w:line="240" w:lineRule="auto"/>
              <w:jc w:val="right"/>
            </w:pPr>
            <w:r>
              <w:t>2.85 (0.73)</w:t>
            </w:r>
          </w:p>
        </w:tc>
        <w:tc>
          <w:tcPr>
            <w:tcW w:w="2003" w:type="dxa"/>
            <w:tcBorders>
              <w:bottom w:val="single" w:sz="4" w:space="0" w:color="auto"/>
            </w:tcBorders>
          </w:tcPr>
          <w:p w14:paraId="6702F221" w14:textId="77777777" w:rsidR="00A675BD" w:rsidRDefault="00A675BD" w:rsidP="00BA4A2D">
            <w:pPr>
              <w:widowControl w:val="0"/>
              <w:spacing w:after="0" w:line="240" w:lineRule="auto"/>
              <w:jc w:val="right"/>
            </w:pPr>
            <w:r>
              <w:t>2.30 (0.66)</w:t>
            </w:r>
          </w:p>
        </w:tc>
        <w:tc>
          <w:tcPr>
            <w:tcW w:w="1890" w:type="dxa"/>
            <w:tcBorders>
              <w:bottom w:val="single" w:sz="4" w:space="0" w:color="auto"/>
            </w:tcBorders>
          </w:tcPr>
          <w:p w14:paraId="770FBC31" w14:textId="77777777" w:rsidR="00A675BD" w:rsidRDefault="00A675BD" w:rsidP="00BA4A2D">
            <w:pPr>
              <w:widowControl w:val="0"/>
              <w:spacing w:after="0" w:line="240" w:lineRule="auto"/>
              <w:jc w:val="right"/>
            </w:pPr>
            <w:r>
              <w:t>2.58 (0.75)</w:t>
            </w:r>
          </w:p>
        </w:tc>
      </w:tr>
    </w:tbl>
    <w:p w14:paraId="2D36CDE8" w14:textId="4EBB20A4" w:rsidR="003500C1" w:rsidRPr="00BA4A2D" w:rsidRDefault="003500C1" w:rsidP="00BA4A2D">
      <w:pPr>
        <w:widowControl w:val="0"/>
        <w:spacing w:after="0" w:line="480" w:lineRule="auto"/>
        <w:rPr>
          <w:rFonts w:ascii="Times New Roman" w:hAnsi="Times New Roman" w:cs="Times New Roman"/>
          <w:sz w:val="24"/>
          <w:szCs w:val="24"/>
        </w:rPr>
      </w:pPr>
      <w:r w:rsidRPr="00BA4A2D">
        <w:rPr>
          <w:rFonts w:ascii="Times New Roman" w:hAnsi="Times New Roman" w:cs="Times New Roman"/>
          <w:i/>
          <w:sz w:val="24"/>
          <w:szCs w:val="24"/>
        </w:rPr>
        <w:t>Note</w:t>
      </w:r>
      <w:r w:rsidRPr="00BA4A2D">
        <w:rPr>
          <w:rFonts w:ascii="Times New Roman" w:hAnsi="Times New Roman" w:cs="Times New Roman"/>
          <w:sz w:val="24"/>
          <w:szCs w:val="24"/>
        </w:rPr>
        <w:t xml:space="preserve">. S1G = semester one grade, coded from </w:t>
      </w:r>
      <w:r w:rsidR="00DB1507" w:rsidRPr="00BA4A2D">
        <w:rPr>
          <w:rFonts w:ascii="Times New Roman" w:hAnsi="Times New Roman" w:cs="Times New Roman"/>
          <w:sz w:val="24"/>
          <w:szCs w:val="24"/>
        </w:rPr>
        <w:t xml:space="preserve">A+ </w:t>
      </w:r>
      <w:r w:rsidRPr="00BA4A2D">
        <w:rPr>
          <w:rFonts w:ascii="Times New Roman" w:hAnsi="Times New Roman" w:cs="Times New Roman"/>
          <w:sz w:val="24"/>
          <w:szCs w:val="24"/>
        </w:rPr>
        <w:t xml:space="preserve">= </w:t>
      </w:r>
      <w:r w:rsidR="00DB1507" w:rsidRPr="00BA4A2D">
        <w:rPr>
          <w:rFonts w:ascii="Times New Roman" w:hAnsi="Times New Roman" w:cs="Times New Roman"/>
          <w:sz w:val="24"/>
          <w:szCs w:val="24"/>
        </w:rPr>
        <w:t>12</w:t>
      </w:r>
      <w:r w:rsidRPr="00BA4A2D">
        <w:rPr>
          <w:rFonts w:ascii="Times New Roman" w:hAnsi="Times New Roman" w:cs="Times New Roman"/>
          <w:sz w:val="24"/>
          <w:szCs w:val="24"/>
        </w:rPr>
        <w:t xml:space="preserve"> to </w:t>
      </w:r>
      <w:r w:rsidR="00DB1507" w:rsidRPr="00BA4A2D">
        <w:rPr>
          <w:rFonts w:ascii="Times New Roman" w:hAnsi="Times New Roman" w:cs="Times New Roman"/>
          <w:sz w:val="24"/>
          <w:szCs w:val="24"/>
        </w:rPr>
        <w:t xml:space="preserve">F </w:t>
      </w:r>
      <w:r w:rsidRPr="00BA4A2D">
        <w:rPr>
          <w:rFonts w:ascii="Times New Roman" w:hAnsi="Times New Roman" w:cs="Times New Roman"/>
          <w:sz w:val="24"/>
          <w:szCs w:val="24"/>
        </w:rPr>
        <w:t xml:space="preserve">= </w:t>
      </w:r>
      <w:r w:rsidR="00DB1507" w:rsidRPr="00BA4A2D">
        <w:rPr>
          <w:rFonts w:ascii="Times New Roman" w:hAnsi="Times New Roman" w:cs="Times New Roman"/>
          <w:sz w:val="24"/>
          <w:szCs w:val="24"/>
        </w:rPr>
        <w:t>0</w:t>
      </w:r>
      <w:r w:rsidRPr="00BA4A2D">
        <w:rPr>
          <w:rFonts w:ascii="Times New Roman" w:hAnsi="Times New Roman" w:cs="Times New Roman"/>
          <w:sz w:val="24"/>
          <w:szCs w:val="24"/>
        </w:rPr>
        <w:t>. PKG = p</w:t>
      </w:r>
      <w:r w:rsidR="00993BB2" w:rsidRPr="00BA4A2D">
        <w:rPr>
          <w:rFonts w:ascii="Times New Roman" w:hAnsi="Times New Roman" w:cs="Times New Roman"/>
          <w:sz w:val="24"/>
          <w:szCs w:val="24"/>
        </w:rPr>
        <w:t>hysics</w:t>
      </w:r>
      <w:r w:rsidRPr="00BA4A2D">
        <w:rPr>
          <w:rFonts w:ascii="Times New Roman" w:hAnsi="Times New Roman" w:cs="Times New Roman"/>
          <w:sz w:val="24"/>
          <w:szCs w:val="24"/>
        </w:rPr>
        <w:t xml:space="preserve"> </w:t>
      </w:r>
      <w:r w:rsidR="00EA1C39" w:rsidRPr="00BA4A2D">
        <w:rPr>
          <w:rFonts w:ascii="Times New Roman" w:hAnsi="Times New Roman" w:cs="Times New Roman"/>
          <w:sz w:val="24"/>
          <w:szCs w:val="24"/>
        </w:rPr>
        <w:t xml:space="preserve">knowledge growth </w:t>
      </w:r>
      <w:r w:rsidR="00993BB2" w:rsidRPr="00BA4A2D">
        <w:rPr>
          <w:rFonts w:ascii="Times New Roman" w:hAnsi="Times New Roman" w:cs="Times New Roman"/>
          <w:sz w:val="24"/>
          <w:szCs w:val="24"/>
        </w:rPr>
        <w:t xml:space="preserve">is </w:t>
      </w:r>
      <w:r w:rsidRPr="00BA4A2D">
        <w:rPr>
          <w:rFonts w:ascii="Times New Roman" w:hAnsi="Times New Roman" w:cs="Times New Roman"/>
          <w:sz w:val="24"/>
          <w:szCs w:val="24"/>
        </w:rPr>
        <w:t xml:space="preserve">measured on the </w:t>
      </w:r>
      <w:r w:rsidR="005C65DB">
        <w:rPr>
          <w:rFonts w:ascii="Times New Roman" w:hAnsi="Times New Roman" w:cs="Times New Roman"/>
          <w:sz w:val="24"/>
          <w:szCs w:val="24"/>
        </w:rPr>
        <w:t>FCI</w:t>
      </w:r>
      <w:r w:rsidRPr="00BA4A2D">
        <w:rPr>
          <w:rFonts w:ascii="Times New Roman" w:hAnsi="Times New Roman" w:cs="Times New Roman"/>
          <w:sz w:val="24"/>
          <w:szCs w:val="24"/>
        </w:rPr>
        <w:t xml:space="preserve"> assessment and scored numerically from 0 to 30</w:t>
      </w:r>
      <w:r w:rsidR="00993BB2" w:rsidRPr="00BA4A2D">
        <w:rPr>
          <w:rFonts w:ascii="Times New Roman" w:hAnsi="Times New Roman" w:cs="Times New Roman"/>
          <w:sz w:val="24"/>
          <w:szCs w:val="24"/>
        </w:rPr>
        <w:t>, post-course score minus pre-course score</w:t>
      </w:r>
      <w:r w:rsidRPr="00BA4A2D">
        <w:rPr>
          <w:rFonts w:ascii="Times New Roman" w:hAnsi="Times New Roman" w:cs="Times New Roman"/>
          <w:sz w:val="24"/>
          <w:szCs w:val="24"/>
        </w:rPr>
        <w:t>. Gender was coded 1 = woman and 0 = man. ME = level of self-efficacy due to mastery experience</w:t>
      </w:r>
      <w:r w:rsidR="005C65DB">
        <w:rPr>
          <w:rFonts w:ascii="Times New Roman" w:hAnsi="Times New Roman" w:cs="Times New Roman"/>
          <w:sz w:val="24"/>
          <w:szCs w:val="24"/>
        </w:rPr>
        <w:t>,</w:t>
      </w:r>
      <w:r w:rsidRPr="00BA4A2D">
        <w:rPr>
          <w:rFonts w:ascii="Times New Roman" w:hAnsi="Times New Roman" w:cs="Times New Roman"/>
          <w:sz w:val="24"/>
          <w:szCs w:val="24"/>
        </w:rPr>
        <w:t xml:space="preserve"> VL = level of self-efficacy due to vicarious </w:t>
      </w:r>
      <w:r w:rsidR="00746160" w:rsidRPr="00BA4A2D">
        <w:rPr>
          <w:rFonts w:ascii="Times New Roman" w:hAnsi="Times New Roman" w:cs="Times New Roman"/>
          <w:sz w:val="24"/>
          <w:szCs w:val="24"/>
        </w:rPr>
        <w:t>learning</w:t>
      </w:r>
      <w:r w:rsidR="005C65DB">
        <w:rPr>
          <w:rFonts w:ascii="Times New Roman" w:hAnsi="Times New Roman" w:cs="Times New Roman"/>
          <w:sz w:val="24"/>
          <w:szCs w:val="24"/>
        </w:rPr>
        <w:t>,</w:t>
      </w:r>
      <w:r w:rsidRPr="00BA4A2D">
        <w:rPr>
          <w:rFonts w:ascii="Times New Roman" w:hAnsi="Times New Roman" w:cs="Times New Roman"/>
          <w:sz w:val="24"/>
          <w:szCs w:val="24"/>
        </w:rPr>
        <w:t xml:space="preserve"> SP = level of self-efficacy due to social persuasion</w:t>
      </w:r>
      <w:r w:rsidR="005C65DB">
        <w:rPr>
          <w:rFonts w:ascii="Times New Roman" w:hAnsi="Times New Roman" w:cs="Times New Roman"/>
          <w:sz w:val="24"/>
          <w:szCs w:val="24"/>
        </w:rPr>
        <w:t>,</w:t>
      </w:r>
      <w:r w:rsidRPr="00BA4A2D">
        <w:rPr>
          <w:rFonts w:ascii="Times New Roman" w:hAnsi="Times New Roman" w:cs="Times New Roman"/>
          <w:sz w:val="24"/>
          <w:szCs w:val="24"/>
        </w:rPr>
        <w:t xml:space="preserve"> PS = level of self-efficacy due to physiological state</w:t>
      </w:r>
      <w:r w:rsidR="00BA28C8">
        <w:rPr>
          <w:rFonts w:ascii="Times New Roman" w:hAnsi="Times New Roman" w:cs="Times New Roman"/>
          <w:sz w:val="24"/>
          <w:szCs w:val="24"/>
        </w:rPr>
        <w:t>. ME, VL, SP, and PS were</w:t>
      </w:r>
      <w:r w:rsidRPr="00BA4A2D">
        <w:rPr>
          <w:rFonts w:ascii="Times New Roman" w:hAnsi="Times New Roman" w:cs="Times New Roman"/>
          <w:sz w:val="24"/>
          <w:szCs w:val="24"/>
        </w:rPr>
        <w:t xml:space="preserve"> scored on a 1 to 5 Likert scale.</w:t>
      </w:r>
    </w:p>
    <w:p w14:paraId="78329BE8" w14:textId="704FF106" w:rsidR="00AC1EED" w:rsidRPr="00E47D0D" w:rsidRDefault="00AC1EED" w:rsidP="00BA4A2D">
      <w:pPr>
        <w:widowControl w:val="0"/>
        <w:spacing w:after="0" w:line="480" w:lineRule="auto"/>
        <w:rPr>
          <w:rFonts w:ascii="Times New Roman" w:hAnsi="Times New Roman" w:cs="Times New Roman"/>
          <w:b/>
          <w:i/>
          <w:sz w:val="24"/>
          <w:szCs w:val="24"/>
        </w:rPr>
      </w:pPr>
      <w:r w:rsidRPr="00E47D0D">
        <w:rPr>
          <w:rFonts w:ascii="Times New Roman" w:hAnsi="Times New Roman" w:cs="Times New Roman"/>
          <w:b/>
          <w:i/>
          <w:sz w:val="24"/>
          <w:szCs w:val="24"/>
        </w:rPr>
        <w:t xml:space="preserve">Enrollment Decision </w:t>
      </w:r>
    </w:p>
    <w:p w14:paraId="5E59E786" w14:textId="57437E23" w:rsidR="00AC1EED" w:rsidRDefault="00E47D0D" w:rsidP="00177FB0">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Enrollment decision </w:t>
      </w:r>
      <w:r w:rsidRPr="00995FF2">
        <w:rPr>
          <w:rFonts w:ascii="Times New Roman" w:hAnsi="Times New Roman" w:cs="Times New Roman"/>
          <w:sz w:val="24"/>
          <w:szCs w:val="24"/>
        </w:rPr>
        <w:t>(ENRD)</w:t>
      </w:r>
      <w:r>
        <w:rPr>
          <w:rFonts w:ascii="Times New Roman" w:hAnsi="Times New Roman" w:cs="Times New Roman"/>
          <w:sz w:val="24"/>
          <w:szCs w:val="24"/>
        </w:rPr>
        <w:t xml:space="preserve"> </w:t>
      </w:r>
      <w:r w:rsidR="00CC66DB">
        <w:rPr>
          <w:rFonts w:ascii="Times New Roman" w:hAnsi="Times New Roman" w:cs="Times New Roman"/>
          <w:sz w:val="24"/>
          <w:szCs w:val="24"/>
        </w:rPr>
        <w:t xml:space="preserve">was </w:t>
      </w:r>
      <w:r>
        <w:rPr>
          <w:rFonts w:ascii="Times New Roman" w:hAnsi="Times New Roman" w:cs="Times New Roman"/>
          <w:sz w:val="24"/>
          <w:szCs w:val="24"/>
        </w:rPr>
        <w:t xml:space="preserve">the dependent variable in this study. Data </w:t>
      </w:r>
      <w:r w:rsidR="00AF5110">
        <w:rPr>
          <w:rFonts w:ascii="Times New Roman" w:hAnsi="Times New Roman" w:cs="Times New Roman"/>
          <w:sz w:val="24"/>
          <w:szCs w:val="24"/>
        </w:rPr>
        <w:t xml:space="preserve">were </w:t>
      </w:r>
      <w:r>
        <w:rPr>
          <w:rFonts w:ascii="Times New Roman" w:hAnsi="Times New Roman" w:cs="Times New Roman"/>
          <w:sz w:val="24"/>
          <w:szCs w:val="24"/>
        </w:rPr>
        <w:t xml:space="preserve">coded with </w:t>
      </w:r>
      <w:r w:rsidR="0014055B">
        <w:rPr>
          <w:rFonts w:ascii="Times New Roman" w:hAnsi="Times New Roman" w:cs="Times New Roman"/>
          <w:sz w:val="24"/>
          <w:szCs w:val="24"/>
        </w:rPr>
        <w:t>“</w:t>
      </w:r>
      <w:r>
        <w:rPr>
          <w:rFonts w:ascii="Times New Roman" w:hAnsi="Times New Roman" w:cs="Times New Roman"/>
          <w:sz w:val="24"/>
          <w:szCs w:val="24"/>
        </w:rPr>
        <w:t>1</w:t>
      </w:r>
      <w:r w:rsidR="0014055B">
        <w:rPr>
          <w:rFonts w:ascii="Times New Roman" w:hAnsi="Times New Roman" w:cs="Times New Roman"/>
          <w:sz w:val="24"/>
          <w:szCs w:val="24"/>
        </w:rPr>
        <w:t>”</w:t>
      </w:r>
      <w:r>
        <w:rPr>
          <w:rFonts w:ascii="Times New Roman" w:hAnsi="Times New Roman" w:cs="Times New Roman"/>
          <w:sz w:val="24"/>
          <w:szCs w:val="24"/>
        </w:rPr>
        <w:t xml:space="preserve"> = enrollment in a second year of high school physics and </w:t>
      </w:r>
      <w:r w:rsidR="0014055B">
        <w:rPr>
          <w:rFonts w:ascii="Times New Roman" w:hAnsi="Times New Roman" w:cs="Times New Roman"/>
          <w:sz w:val="24"/>
          <w:szCs w:val="24"/>
        </w:rPr>
        <w:t>“</w:t>
      </w:r>
      <w:r>
        <w:rPr>
          <w:rFonts w:ascii="Times New Roman" w:hAnsi="Times New Roman" w:cs="Times New Roman"/>
          <w:sz w:val="24"/>
          <w:szCs w:val="24"/>
        </w:rPr>
        <w:t>0</w:t>
      </w:r>
      <w:r w:rsidR="0014055B">
        <w:rPr>
          <w:rFonts w:ascii="Times New Roman" w:hAnsi="Times New Roman" w:cs="Times New Roman"/>
          <w:sz w:val="24"/>
          <w:szCs w:val="24"/>
        </w:rPr>
        <w:t>”</w:t>
      </w:r>
      <w:r>
        <w:rPr>
          <w:rFonts w:ascii="Times New Roman" w:hAnsi="Times New Roman" w:cs="Times New Roman"/>
          <w:sz w:val="24"/>
          <w:szCs w:val="24"/>
        </w:rPr>
        <w:t xml:space="preserve"> = not enrolling in a second year of high school physics. </w:t>
      </w:r>
      <w:r w:rsidR="00257F87">
        <w:rPr>
          <w:rFonts w:ascii="Times New Roman" w:hAnsi="Times New Roman" w:cs="Times New Roman"/>
          <w:sz w:val="24"/>
          <w:szCs w:val="24"/>
        </w:rPr>
        <w:t>Th</w:t>
      </w:r>
      <w:r w:rsidR="005C65DB">
        <w:rPr>
          <w:rFonts w:ascii="Times New Roman" w:hAnsi="Times New Roman" w:cs="Times New Roman"/>
          <w:sz w:val="24"/>
          <w:szCs w:val="24"/>
        </w:rPr>
        <w:t>e</w:t>
      </w:r>
      <w:r w:rsidR="00257F87">
        <w:rPr>
          <w:rFonts w:ascii="Times New Roman" w:hAnsi="Times New Roman" w:cs="Times New Roman"/>
          <w:sz w:val="24"/>
          <w:szCs w:val="24"/>
        </w:rPr>
        <w:t xml:space="preserve"> data </w:t>
      </w:r>
      <w:r w:rsidR="005C65DB">
        <w:rPr>
          <w:rFonts w:ascii="Times New Roman" w:hAnsi="Times New Roman" w:cs="Times New Roman"/>
          <w:sz w:val="24"/>
          <w:szCs w:val="24"/>
        </w:rPr>
        <w:t xml:space="preserve">were </w:t>
      </w:r>
      <w:r w:rsidR="00257F87">
        <w:rPr>
          <w:rFonts w:ascii="Times New Roman" w:hAnsi="Times New Roman" w:cs="Times New Roman"/>
          <w:sz w:val="24"/>
          <w:szCs w:val="24"/>
        </w:rPr>
        <w:t>provided by the school district in an Excel document listed by student ID number.</w:t>
      </w:r>
    </w:p>
    <w:p w14:paraId="65EBAA39" w14:textId="6052CCD0" w:rsidR="00E47D0D" w:rsidRDefault="00E47D0D" w:rsidP="00177FB0">
      <w:pPr>
        <w:widowControl w:val="0"/>
        <w:spacing w:after="0" w:line="480" w:lineRule="auto"/>
        <w:rPr>
          <w:rFonts w:ascii="Times New Roman" w:hAnsi="Times New Roman" w:cs="Times New Roman"/>
          <w:b/>
          <w:i/>
          <w:sz w:val="24"/>
          <w:szCs w:val="24"/>
        </w:rPr>
      </w:pPr>
      <w:r>
        <w:rPr>
          <w:rFonts w:ascii="Times New Roman" w:hAnsi="Times New Roman" w:cs="Times New Roman"/>
          <w:b/>
          <w:i/>
          <w:sz w:val="24"/>
          <w:szCs w:val="24"/>
        </w:rPr>
        <w:lastRenderedPageBreak/>
        <w:t>Semester One Grade</w:t>
      </w:r>
    </w:p>
    <w:p w14:paraId="63883DDF" w14:textId="534AEDFD" w:rsidR="00E47D0D" w:rsidRDefault="00E47D0D" w:rsidP="00177FB0">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Semester one grade </w:t>
      </w:r>
      <w:r w:rsidRPr="00995FF2">
        <w:rPr>
          <w:rFonts w:ascii="Times New Roman" w:hAnsi="Times New Roman" w:cs="Times New Roman"/>
          <w:sz w:val="24"/>
          <w:szCs w:val="24"/>
        </w:rPr>
        <w:t>(S1G)</w:t>
      </w:r>
      <w:r>
        <w:rPr>
          <w:rFonts w:ascii="Times New Roman" w:hAnsi="Times New Roman" w:cs="Times New Roman"/>
          <w:i/>
          <w:sz w:val="24"/>
          <w:szCs w:val="24"/>
        </w:rPr>
        <w:t xml:space="preserve"> </w:t>
      </w:r>
      <w:r w:rsidR="00CC66DB">
        <w:rPr>
          <w:rFonts w:ascii="Times New Roman" w:hAnsi="Times New Roman" w:cs="Times New Roman"/>
          <w:sz w:val="24"/>
          <w:szCs w:val="24"/>
        </w:rPr>
        <w:t xml:space="preserve">was </w:t>
      </w:r>
      <w:r>
        <w:rPr>
          <w:rFonts w:ascii="Times New Roman" w:hAnsi="Times New Roman" w:cs="Times New Roman"/>
          <w:sz w:val="24"/>
          <w:szCs w:val="24"/>
        </w:rPr>
        <w:t>one of two control independent variables used in the study. Grades were provided for each participant by the district as letter grades</w:t>
      </w:r>
      <w:r w:rsidR="00257F87">
        <w:rPr>
          <w:rFonts w:ascii="Times New Roman" w:hAnsi="Times New Roman" w:cs="Times New Roman"/>
          <w:sz w:val="24"/>
          <w:szCs w:val="24"/>
        </w:rPr>
        <w:t xml:space="preserve"> in an Excel document listed by student number</w:t>
      </w:r>
      <w:r>
        <w:rPr>
          <w:rFonts w:ascii="Times New Roman" w:hAnsi="Times New Roman" w:cs="Times New Roman"/>
          <w:sz w:val="24"/>
          <w:szCs w:val="24"/>
        </w:rPr>
        <w:t>. These letter grades were coded numerically</w:t>
      </w:r>
      <w:r w:rsidR="00DB188B">
        <w:rPr>
          <w:rFonts w:ascii="Times New Roman" w:hAnsi="Times New Roman" w:cs="Times New Roman"/>
          <w:sz w:val="24"/>
          <w:szCs w:val="24"/>
        </w:rPr>
        <w:t xml:space="preserve"> (Table 2)</w:t>
      </w:r>
      <w:r w:rsidR="00257F87">
        <w:rPr>
          <w:rFonts w:ascii="Times New Roman" w:hAnsi="Times New Roman" w:cs="Times New Roman"/>
          <w:sz w:val="24"/>
          <w:szCs w:val="24"/>
        </w:rPr>
        <w:t xml:space="preserve"> before being </w:t>
      </w:r>
      <w:r w:rsidR="00746160">
        <w:rPr>
          <w:rFonts w:ascii="Times New Roman" w:hAnsi="Times New Roman" w:cs="Times New Roman"/>
          <w:sz w:val="24"/>
          <w:szCs w:val="24"/>
        </w:rPr>
        <w:t>imported</w:t>
      </w:r>
      <w:r w:rsidR="00257F87">
        <w:rPr>
          <w:rFonts w:ascii="Times New Roman" w:hAnsi="Times New Roman" w:cs="Times New Roman"/>
          <w:sz w:val="24"/>
          <w:szCs w:val="24"/>
        </w:rPr>
        <w:t xml:space="preserve"> into SPSS for analysis</w:t>
      </w:r>
      <w:r w:rsidR="00DB188B">
        <w:rPr>
          <w:rFonts w:ascii="Times New Roman" w:hAnsi="Times New Roman" w:cs="Times New Roman"/>
          <w:sz w:val="24"/>
          <w:szCs w:val="24"/>
        </w:rPr>
        <w:t xml:space="preserve">. </w:t>
      </w:r>
    </w:p>
    <w:p w14:paraId="66573CB4" w14:textId="59E15653" w:rsidR="00DB188B" w:rsidRDefault="00DB188B" w:rsidP="00177FB0">
      <w:pPr>
        <w:widowControl w:val="0"/>
        <w:spacing w:after="0" w:line="480" w:lineRule="auto"/>
        <w:rPr>
          <w:rFonts w:ascii="Times New Roman" w:hAnsi="Times New Roman" w:cs="Times New Roman"/>
          <w:b/>
          <w:i/>
          <w:sz w:val="24"/>
          <w:szCs w:val="24"/>
        </w:rPr>
      </w:pPr>
      <w:r>
        <w:rPr>
          <w:rFonts w:ascii="Times New Roman" w:hAnsi="Times New Roman" w:cs="Times New Roman"/>
          <w:b/>
          <w:i/>
          <w:sz w:val="24"/>
          <w:szCs w:val="24"/>
        </w:rPr>
        <w:t>Physics Knowledge Growth</w:t>
      </w:r>
    </w:p>
    <w:p w14:paraId="34B98598" w14:textId="32F50E38" w:rsidR="00DB188B" w:rsidRDefault="00DB188B" w:rsidP="00177FB0">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other control </w:t>
      </w:r>
      <w:r w:rsidR="006B6D38">
        <w:rPr>
          <w:rFonts w:ascii="Times New Roman" w:hAnsi="Times New Roman" w:cs="Times New Roman"/>
          <w:sz w:val="24"/>
          <w:szCs w:val="24"/>
        </w:rPr>
        <w:t xml:space="preserve">independent </w:t>
      </w:r>
      <w:r>
        <w:rPr>
          <w:rFonts w:ascii="Times New Roman" w:hAnsi="Times New Roman" w:cs="Times New Roman"/>
          <w:sz w:val="24"/>
          <w:szCs w:val="24"/>
        </w:rPr>
        <w:t xml:space="preserve">variable used in this study </w:t>
      </w:r>
      <w:r w:rsidR="00CC66DB">
        <w:rPr>
          <w:rFonts w:ascii="Times New Roman" w:hAnsi="Times New Roman" w:cs="Times New Roman"/>
          <w:sz w:val="24"/>
          <w:szCs w:val="24"/>
        </w:rPr>
        <w:t xml:space="preserve">was </w:t>
      </w:r>
      <w:r>
        <w:rPr>
          <w:rFonts w:ascii="Times New Roman" w:hAnsi="Times New Roman" w:cs="Times New Roman"/>
          <w:sz w:val="24"/>
          <w:szCs w:val="24"/>
        </w:rPr>
        <w:t xml:space="preserve">physics knowledge growth </w:t>
      </w:r>
      <w:r w:rsidRPr="00995FF2">
        <w:rPr>
          <w:rFonts w:ascii="Times New Roman" w:hAnsi="Times New Roman" w:cs="Times New Roman"/>
          <w:sz w:val="24"/>
          <w:szCs w:val="24"/>
        </w:rPr>
        <w:t>(PKG).</w:t>
      </w:r>
      <w:r>
        <w:rPr>
          <w:rFonts w:ascii="Times New Roman" w:hAnsi="Times New Roman" w:cs="Times New Roman"/>
          <w:sz w:val="24"/>
          <w:szCs w:val="24"/>
        </w:rPr>
        <w:t xml:space="preserve"> Growth during the school year in physics knowledge was </w:t>
      </w:r>
      <w:r w:rsidR="00746160">
        <w:rPr>
          <w:rFonts w:ascii="Times New Roman" w:hAnsi="Times New Roman" w:cs="Times New Roman"/>
          <w:sz w:val="24"/>
          <w:szCs w:val="24"/>
        </w:rPr>
        <w:t>measured</w:t>
      </w:r>
      <w:r>
        <w:rPr>
          <w:rFonts w:ascii="Times New Roman" w:hAnsi="Times New Roman" w:cs="Times New Roman"/>
          <w:sz w:val="24"/>
          <w:szCs w:val="24"/>
        </w:rPr>
        <w:t xml:space="preserve"> using the F</w:t>
      </w:r>
      <w:r w:rsidR="00177FB0">
        <w:rPr>
          <w:rFonts w:ascii="Times New Roman" w:hAnsi="Times New Roman" w:cs="Times New Roman"/>
          <w:sz w:val="24"/>
          <w:szCs w:val="24"/>
        </w:rPr>
        <w:t>CI</w:t>
      </w:r>
      <w:r>
        <w:rPr>
          <w:rFonts w:ascii="Times New Roman" w:hAnsi="Times New Roman" w:cs="Times New Roman"/>
          <w:sz w:val="24"/>
          <w:szCs w:val="24"/>
        </w:rPr>
        <w:t>. This test was given in a pre and post</w:t>
      </w:r>
      <w:r w:rsidR="00257F87">
        <w:rPr>
          <w:rFonts w:ascii="Times New Roman" w:hAnsi="Times New Roman" w:cs="Times New Roman"/>
          <w:sz w:val="24"/>
          <w:szCs w:val="24"/>
        </w:rPr>
        <w:t>-test</w:t>
      </w:r>
      <w:r>
        <w:rPr>
          <w:rFonts w:ascii="Times New Roman" w:hAnsi="Times New Roman" w:cs="Times New Roman"/>
          <w:sz w:val="24"/>
          <w:szCs w:val="24"/>
        </w:rPr>
        <w:t xml:space="preserve"> format. Student responses on this thirty</w:t>
      </w:r>
      <w:r w:rsidR="0014055B">
        <w:rPr>
          <w:rFonts w:ascii="Times New Roman" w:hAnsi="Times New Roman" w:cs="Times New Roman"/>
          <w:sz w:val="24"/>
          <w:szCs w:val="24"/>
        </w:rPr>
        <w:t>-</w:t>
      </w:r>
      <w:r>
        <w:rPr>
          <w:rFonts w:ascii="Times New Roman" w:hAnsi="Times New Roman" w:cs="Times New Roman"/>
          <w:sz w:val="24"/>
          <w:szCs w:val="24"/>
        </w:rPr>
        <w:t xml:space="preserve">question exam resulted in a numeric score between </w:t>
      </w:r>
      <w:r w:rsidR="00833C7E">
        <w:rPr>
          <w:rFonts w:ascii="Times New Roman" w:hAnsi="Times New Roman" w:cs="Times New Roman"/>
          <w:sz w:val="24"/>
          <w:szCs w:val="24"/>
        </w:rPr>
        <w:t xml:space="preserve">0 </w:t>
      </w:r>
      <w:r>
        <w:rPr>
          <w:rFonts w:ascii="Times New Roman" w:hAnsi="Times New Roman" w:cs="Times New Roman"/>
          <w:sz w:val="24"/>
          <w:szCs w:val="24"/>
        </w:rPr>
        <w:t xml:space="preserve">and </w:t>
      </w:r>
      <w:r w:rsidR="00833C7E">
        <w:rPr>
          <w:rFonts w:ascii="Times New Roman" w:hAnsi="Times New Roman" w:cs="Times New Roman"/>
          <w:sz w:val="24"/>
          <w:szCs w:val="24"/>
        </w:rPr>
        <w:t>3</w:t>
      </w:r>
      <w:r>
        <w:rPr>
          <w:rFonts w:ascii="Times New Roman" w:hAnsi="Times New Roman" w:cs="Times New Roman"/>
          <w:sz w:val="24"/>
          <w:szCs w:val="24"/>
        </w:rPr>
        <w:t>0. Student pre-test scores were subtracted from student post-test scores to arrive at a numeric val</w:t>
      </w:r>
      <w:r w:rsidR="00257F87">
        <w:rPr>
          <w:rFonts w:ascii="Times New Roman" w:hAnsi="Times New Roman" w:cs="Times New Roman"/>
          <w:sz w:val="24"/>
          <w:szCs w:val="24"/>
        </w:rPr>
        <w:t xml:space="preserve">ue for physics knowledge growth and were calculated on an Excel spreadsheet before </w:t>
      </w:r>
      <w:r w:rsidR="00746160">
        <w:rPr>
          <w:rFonts w:ascii="Times New Roman" w:hAnsi="Times New Roman" w:cs="Times New Roman"/>
          <w:sz w:val="24"/>
          <w:szCs w:val="24"/>
        </w:rPr>
        <w:t>inputting</w:t>
      </w:r>
      <w:r w:rsidR="00257F87">
        <w:rPr>
          <w:rFonts w:ascii="Times New Roman" w:hAnsi="Times New Roman" w:cs="Times New Roman"/>
          <w:sz w:val="24"/>
          <w:szCs w:val="24"/>
        </w:rPr>
        <w:t xml:space="preserve"> into SPSS for </w:t>
      </w:r>
      <w:r w:rsidR="00746160">
        <w:rPr>
          <w:rFonts w:ascii="Times New Roman" w:hAnsi="Times New Roman" w:cs="Times New Roman"/>
          <w:sz w:val="24"/>
          <w:szCs w:val="24"/>
        </w:rPr>
        <w:t>analysis</w:t>
      </w:r>
      <w:r w:rsidR="00257F87">
        <w:rPr>
          <w:rFonts w:ascii="Times New Roman" w:hAnsi="Times New Roman" w:cs="Times New Roman"/>
          <w:sz w:val="24"/>
          <w:szCs w:val="24"/>
        </w:rPr>
        <w:t>.</w:t>
      </w:r>
    </w:p>
    <w:p w14:paraId="7772905A" w14:textId="079B7C5F" w:rsidR="006B6D38" w:rsidRDefault="006B6D38" w:rsidP="00177FB0">
      <w:pPr>
        <w:widowControl w:val="0"/>
        <w:spacing w:after="0" w:line="480" w:lineRule="auto"/>
        <w:rPr>
          <w:rFonts w:ascii="Times New Roman" w:hAnsi="Times New Roman" w:cs="Times New Roman"/>
          <w:b/>
          <w:i/>
          <w:sz w:val="24"/>
          <w:szCs w:val="24"/>
        </w:rPr>
      </w:pPr>
      <w:r>
        <w:rPr>
          <w:rFonts w:ascii="Times New Roman" w:hAnsi="Times New Roman" w:cs="Times New Roman"/>
          <w:b/>
          <w:i/>
          <w:sz w:val="24"/>
          <w:szCs w:val="24"/>
        </w:rPr>
        <w:t>Master</w:t>
      </w:r>
      <w:r w:rsidR="00654D4C">
        <w:rPr>
          <w:rFonts w:ascii="Times New Roman" w:hAnsi="Times New Roman" w:cs="Times New Roman"/>
          <w:b/>
          <w:i/>
          <w:sz w:val="24"/>
          <w:szCs w:val="24"/>
        </w:rPr>
        <w:t>y</w:t>
      </w:r>
      <w:r>
        <w:rPr>
          <w:rFonts w:ascii="Times New Roman" w:hAnsi="Times New Roman" w:cs="Times New Roman"/>
          <w:b/>
          <w:i/>
          <w:sz w:val="24"/>
          <w:szCs w:val="24"/>
        </w:rPr>
        <w:t xml:space="preserve"> Experience</w:t>
      </w:r>
    </w:p>
    <w:p w14:paraId="025E8227" w14:textId="619FE781" w:rsidR="006B6D38" w:rsidRDefault="006B6D38" w:rsidP="00177FB0">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Mastery experience </w:t>
      </w:r>
      <w:r w:rsidRPr="00995FF2">
        <w:rPr>
          <w:rFonts w:ascii="Times New Roman" w:hAnsi="Times New Roman" w:cs="Times New Roman"/>
          <w:sz w:val="24"/>
          <w:szCs w:val="24"/>
        </w:rPr>
        <w:t>(ME)</w:t>
      </w:r>
      <w:r>
        <w:rPr>
          <w:rFonts w:ascii="Times New Roman" w:hAnsi="Times New Roman" w:cs="Times New Roman"/>
          <w:i/>
          <w:sz w:val="24"/>
          <w:szCs w:val="24"/>
        </w:rPr>
        <w:t xml:space="preserve"> </w:t>
      </w:r>
      <w:r w:rsidR="00CC66DB">
        <w:rPr>
          <w:rFonts w:ascii="Times New Roman" w:hAnsi="Times New Roman" w:cs="Times New Roman"/>
          <w:sz w:val="24"/>
          <w:szCs w:val="24"/>
        </w:rPr>
        <w:t xml:space="preserve">was </w:t>
      </w:r>
      <w:r>
        <w:rPr>
          <w:rFonts w:ascii="Times New Roman" w:hAnsi="Times New Roman" w:cs="Times New Roman"/>
          <w:sz w:val="24"/>
          <w:szCs w:val="24"/>
        </w:rPr>
        <w:t xml:space="preserve">the first of four </w:t>
      </w:r>
      <w:r w:rsidR="00746160">
        <w:rPr>
          <w:rFonts w:ascii="Times New Roman" w:hAnsi="Times New Roman" w:cs="Times New Roman"/>
          <w:sz w:val="24"/>
          <w:szCs w:val="24"/>
        </w:rPr>
        <w:t>sources</w:t>
      </w:r>
      <w:r>
        <w:rPr>
          <w:rFonts w:ascii="Times New Roman" w:hAnsi="Times New Roman" w:cs="Times New Roman"/>
          <w:sz w:val="24"/>
          <w:szCs w:val="24"/>
        </w:rPr>
        <w:t xml:space="preserve"> of self-efficacy used as independent variables in this study. </w:t>
      </w:r>
      <w:r w:rsidR="001B7116">
        <w:rPr>
          <w:rFonts w:ascii="Times New Roman" w:hAnsi="Times New Roman" w:cs="Times New Roman"/>
          <w:sz w:val="24"/>
          <w:szCs w:val="24"/>
        </w:rPr>
        <w:t xml:space="preserve">This source of self-efficacy is derived from personal experiences of success. </w:t>
      </w:r>
      <w:r>
        <w:rPr>
          <w:rFonts w:ascii="Times New Roman" w:hAnsi="Times New Roman" w:cs="Times New Roman"/>
          <w:sz w:val="24"/>
          <w:szCs w:val="24"/>
        </w:rPr>
        <w:t>Data</w:t>
      </w:r>
      <w:r w:rsidR="00177FB0">
        <w:rPr>
          <w:rFonts w:ascii="Times New Roman" w:hAnsi="Times New Roman" w:cs="Times New Roman"/>
          <w:sz w:val="24"/>
          <w:szCs w:val="24"/>
        </w:rPr>
        <w:t xml:space="preserve"> were </w:t>
      </w:r>
      <w:r>
        <w:rPr>
          <w:rFonts w:ascii="Times New Roman" w:hAnsi="Times New Roman" w:cs="Times New Roman"/>
          <w:sz w:val="24"/>
          <w:szCs w:val="24"/>
        </w:rPr>
        <w:t xml:space="preserve">obtained from the administration of the SOSESC-P instrument </w:t>
      </w:r>
      <w:r w:rsidR="006E0823">
        <w:rPr>
          <w:rFonts w:ascii="Times New Roman" w:hAnsi="Times New Roman" w:cs="Times New Roman"/>
          <w:sz w:val="24"/>
          <w:szCs w:val="24"/>
        </w:rPr>
        <w:t xml:space="preserve">with results provided </w:t>
      </w:r>
      <w:r>
        <w:rPr>
          <w:rFonts w:ascii="Times New Roman" w:hAnsi="Times New Roman" w:cs="Times New Roman"/>
          <w:sz w:val="24"/>
          <w:szCs w:val="24"/>
        </w:rPr>
        <w:t xml:space="preserve">on an Excel spreadsheet. Reverse </w:t>
      </w:r>
      <w:r w:rsidR="00707AE2">
        <w:rPr>
          <w:rFonts w:ascii="Times New Roman" w:hAnsi="Times New Roman" w:cs="Times New Roman"/>
          <w:sz w:val="24"/>
          <w:szCs w:val="24"/>
        </w:rPr>
        <w:t>scoring</w:t>
      </w:r>
      <w:r>
        <w:rPr>
          <w:rFonts w:ascii="Times New Roman" w:hAnsi="Times New Roman" w:cs="Times New Roman"/>
          <w:sz w:val="24"/>
          <w:szCs w:val="24"/>
        </w:rPr>
        <w:t xml:space="preserve"> was applied and an average score for the ten mastery experience items were averaged for each participant on </w:t>
      </w:r>
      <w:r w:rsidR="000262DE">
        <w:rPr>
          <w:rFonts w:ascii="Times New Roman" w:hAnsi="Times New Roman" w:cs="Times New Roman"/>
          <w:sz w:val="24"/>
          <w:szCs w:val="24"/>
        </w:rPr>
        <w:t>an</w:t>
      </w:r>
      <w:r>
        <w:rPr>
          <w:rFonts w:ascii="Times New Roman" w:hAnsi="Times New Roman" w:cs="Times New Roman"/>
          <w:sz w:val="24"/>
          <w:szCs w:val="24"/>
        </w:rPr>
        <w:t xml:space="preserve"> Excel document</w:t>
      </w:r>
      <w:r w:rsidR="001B7116">
        <w:rPr>
          <w:rFonts w:ascii="Times New Roman" w:hAnsi="Times New Roman" w:cs="Times New Roman"/>
          <w:sz w:val="24"/>
          <w:szCs w:val="24"/>
        </w:rPr>
        <w:t xml:space="preserve"> before being loaded in to SPSS (</w:t>
      </w:r>
      <w:r w:rsidR="005E61E2">
        <w:rPr>
          <w:rFonts w:ascii="Times New Roman" w:hAnsi="Times New Roman" w:cs="Times New Roman"/>
          <w:sz w:val="24"/>
          <w:szCs w:val="24"/>
        </w:rPr>
        <w:t>A</w:t>
      </w:r>
      <w:r>
        <w:rPr>
          <w:rFonts w:ascii="Times New Roman" w:hAnsi="Times New Roman" w:cs="Times New Roman"/>
          <w:sz w:val="24"/>
          <w:szCs w:val="24"/>
        </w:rPr>
        <w:t>ppendix C</w:t>
      </w:r>
      <w:r w:rsidR="001B7116">
        <w:rPr>
          <w:rFonts w:ascii="Times New Roman" w:hAnsi="Times New Roman" w:cs="Times New Roman"/>
          <w:sz w:val="24"/>
          <w:szCs w:val="24"/>
        </w:rPr>
        <w:t>)</w:t>
      </w:r>
      <w:r>
        <w:rPr>
          <w:rFonts w:ascii="Times New Roman" w:hAnsi="Times New Roman" w:cs="Times New Roman"/>
          <w:sz w:val="24"/>
          <w:szCs w:val="24"/>
        </w:rPr>
        <w:t>.</w:t>
      </w:r>
    </w:p>
    <w:p w14:paraId="2BA837A9" w14:textId="796386DA" w:rsidR="001B7116" w:rsidRDefault="00D7483E" w:rsidP="00177FB0">
      <w:pPr>
        <w:widowControl w:val="0"/>
        <w:spacing w:after="0" w:line="480" w:lineRule="auto"/>
        <w:rPr>
          <w:rFonts w:ascii="Times New Roman" w:hAnsi="Times New Roman" w:cs="Times New Roman"/>
          <w:b/>
          <w:i/>
          <w:sz w:val="24"/>
          <w:szCs w:val="24"/>
        </w:rPr>
      </w:pPr>
      <w:r>
        <w:rPr>
          <w:rFonts w:ascii="Times New Roman" w:hAnsi="Times New Roman" w:cs="Times New Roman"/>
          <w:b/>
          <w:i/>
          <w:sz w:val="24"/>
          <w:szCs w:val="24"/>
        </w:rPr>
        <w:t>Vicarious Learning</w:t>
      </w:r>
    </w:p>
    <w:p w14:paraId="7A394DC8" w14:textId="2EAB6F2A" w:rsidR="00D7483E" w:rsidRDefault="00D7483E" w:rsidP="00177FB0">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Vicarious learning </w:t>
      </w:r>
      <w:r w:rsidRPr="00995FF2">
        <w:rPr>
          <w:rFonts w:ascii="Times New Roman" w:hAnsi="Times New Roman" w:cs="Times New Roman"/>
          <w:sz w:val="24"/>
          <w:szCs w:val="24"/>
        </w:rPr>
        <w:t>(VL)</w:t>
      </w:r>
      <w:r>
        <w:rPr>
          <w:rFonts w:ascii="Times New Roman" w:hAnsi="Times New Roman" w:cs="Times New Roman"/>
          <w:sz w:val="24"/>
          <w:szCs w:val="24"/>
        </w:rPr>
        <w:t xml:space="preserve"> </w:t>
      </w:r>
      <w:r w:rsidR="00CC66DB">
        <w:rPr>
          <w:rFonts w:ascii="Times New Roman" w:hAnsi="Times New Roman" w:cs="Times New Roman"/>
          <w:sz w:val="24"/>
          <w:szCs w:val="24"/>
        </w:rPr>
        <w:t xml:space="preserve">was </w:t>
      </w:r>
      <w:r>
        <w:rPr>
          <w:rFonts w:ascii="Times New Roman" w:hAnsi="Times New Roman" w:cs="Times New Roman"/>
          <w:sz w:val="24"/>
          <w:szCs w:val="24"/>
        </w:rPr>
        <w:t>the second of four sources of self-efficacy used as independent variables in this study. This source of self-efficacy is derived from a student</w:t>
      </w:r>
      <w:r w:rsidR="00CC66DB">
        <w:rPr>
          <w:rFonts w:ascii="Times New Roman" w:hAnsi="Times New Roman" w:cs="Times New Roman"/>
          <w:sz w:val="24"/>
          <w:szCs w:val="24"/>
        </w:rPr>
        <w:t>’</w:t>
      </w:r>
      <w:r>
        <w:rPr>
          <w:rFonts w:ascii="Times New Roman" w:hAnsi="Times New Roman" w:cs="Times New Roman"/>
          <w:sz w:val="24"/>
          <w:szCs w:val="24"/>
        </w:rPr>
        <w:t xml:space="preserve">s observations of the experiences of others in the classroom. Data </w:t>
      </w:r>
      <w:r w:rsidR="00BA28C8">
        <w:rPr>
          <w:rFonts w:ascii="Times New Roman" w:hAnsi="Times New Roman" w:cs="Times New Roman"/>
          <w:sz w:val="24"/>
          <w:szCs w:val="24"/>
        </w:rPr>
        <w:t xml:space="preserve">were </w:t>
      </w:r>
      <w:r>
        <w:rPr>
          <w:rFonts w:ascii="Times New Roman" w:hAnsi="Times New Roman" w:cs="Times New Roman"/>
          <w:sz w:val="24"/>
          <w:szCs w:val="24"/>
        </w:rPr>
        <w:t xml:space="preserve">obtained from the </w:t>
      </w:r>
      <w:r>
        <w:rPr>
          <w:rFonts w:ascii="Times New Roman" w:hAnsi="Times New Roman" w:cs="Times New Roman"/>
          <w:sz w:val="24"/>
          <w:szCs w:val="24"/>
        </w:rPr>
        <w:lastRenderedPageBreak/>
        <w:t xml:space="preserve">administration of the SOSESC-P instrument </w:t>
      </w:r>
      <w:r w:rsidR="006E0823">
        <w:rPr>
          <w:rFonts w:ascii="Times New Roman" w:hAnsi="Times New Roman" w:cs="Times New Roman"/>
          <w:sz w:val="24"/>
          <w:szCs w:val="24"/>
        </w:rPr>
        <w:t xml:space="preserve">with results provided </w:t>
      </w:r>
      <w:r>
        <w:rPr>
          <w:rFonts w:ascii="Times New Roman" w:hAnsi="Times New Roman" w:cs="Times New Roman"/>
          <w:sz w:val="24"/>
          <w:szCs w:val="24"/>
        </w:rPr>
        <w:t xml:space="preserve">on an Excel spreadsheet. Reverse </w:t>
      </w:r>
      <w:r w:rsidR="00707AE2">
        <w:rPr>
          <w:rFonts w:ascii="Times New Roman" w:hAnsi="Times New Roman" w:cs="Times New Roman"/>
          <w:sz w:val="24"/>
          <w:szCs w:val="24"/>
        </w:rPr>
        <w:t>scoring</w:t>
      </w:r>
      <w:r>
        <w:rPr>
          <w:rFonts w:ascii="Times New Roman" w:hAnsi="Times New Roman" w:cs="Times New Roman"/>
          <w:sz w:val="24"/>
          <w:szCs w:val="24"/>
        </w:rPr>
        <w:t xml:space="preserve"> was applied and an average score for the seven vicarious learning items were averaged for each participant on </w:t>
      </w:r>
      <w:r w:rsidR="000262DE">
        <w:rPr>
          <w:rFonts w:ascii="Times New Roman" w:hAnsi="Times New Roman" w:cs="Times New Roman"/>
          <w:sz w:val="24"/>
          <w:szCs w:val="24"/>
        </w:rPr>
        <w:t>an</w:t>
      </w:r>
      <w:r>
        <w:rPr>
          <w:rFonts w:ascii="Times New Roman" w:hAnsi="Times New Roman" w:cs="Times New Roman"/>
          <w:sz w:val="24"/>
          <w:szCs w:val="24"/>
        </w:rPr>
        <w:t xml:space="preserve"> Excel document before </w:t>
      </w:r>
      <w:r w:rsidR="00BA28C8">
        <w:rPr>
          <w:rFonts w:ascii="Times New Roman" w:hAnsi="Times New Roman" w:cs="Times New Roman"/>
          <w:sz w:val="24"/>
          <w:szCs w:val="24"/>
        </w:rPr>
        <w:t>entry</w:t>
      </w:r>
      <w:r>
        <w:rPr>
          <w:rFonts w:ascii="Times New Roman" w:hAnsi="Times New Roman" w:cs="Times New Roman"/>
          <w:sz w:val="24"/>
          <w:szCs w:val="24"/>
        </w:rPr>
        <w:t xml:space="preserve"> in SPSS (</w:t>
      </w:r>
      <w:r w:rsidR="0014055B">
        <w:rPr>
          <w:rFonts w:ascii="Times New Roman" w:hAnsi="Times New Roman" w:cs="Times New Roman"/>
          <w:sz w:val="24"/>
          <w:szCs w:val="24"/>
        </w:rPr>
        <w:t>A</w:t>
      </w:r>
      <w:r>
        <w:rPr>
          <w:rFonts w:ascii="Times New Roman" w:hAnsi="Times New Roman" w:cs="Times New Roman"/>
          <w:sz w:val="24"/>
          <w:szCs w:val="24"/>
        </w:rPr>
        <w:t>ppendix C).</w:t>
      </w:r>
    </w:p>
    <w:p w14:paraId="731FBD02" w14:textId="51752032" w:rsidR="00D7483E" w:rsidRDefault="00D7483E" w:rsidP="00177FB0">
      <w:pPr>
        <w:widowControl w:val="0"/>
        <w:spacing w:after="0" w:line="480" w:lineRule="auto"/>
        <w:rPr>
          <w:rFonts w:ascii="Times New Roman" w:hAnsi="Times New Roman" w:cs="Times New Roman"/>
          <w:b/>
          <w:i/>
          <w:sz w:val="24"/>
          <w:szCs w:val="24"/>
        </w:rPr>
      </w:pPr>
      <w:r>
        <w:rPr>
          <w:rFonts w:ascii="Times New Roman" w:hAnsi="Times New Roman" w:cs="Times New Roman"/>
          <w:b/>
          <w:i/>
          <w:sz w:val="24"/>
          <w:szCs w:val="24"/>
        </w:rPr>
        <w:t>Social Persuasion</w:t>
      </w:r>
    </w:p>
    <w:p w14:paraId="41A9009A" w14:textId="679E6205" w:rsidR="00D7483E" w:rsidRDefault="00D7483E" w:rsidP="00177FB0">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Social persuasion </w:t>
      </w:r>
      <w:r w:rsidRPr="00995FF2">
        <w:rPr>
          <w:rFonts w:ascii="Times New Roman" w:hAnsi="Times New Roman" w:cs="Times New Roman"/>
          <w:sz w:val="24"/>
          <w:szCs w:val="24"/>
        </w:rPr>
        <w:t>(SP)</w:t>
      </w:r>
      <w:r>
        <w:rPr>
          <w:rFonts w:ascii="Times New Roman" w:hAnsi="Times New Roman" w:cs="Times New Roman"/>
          <w:sz w:val="24"/>
          <w:szCs w:val="24"/>
        </w:rPr>
        <w:t xml:space="preserve"> </w:t>
      </w:r>
      <w:r w:rsidR="00CC66DB">
        <w:rPr>
          <w:rFonts w:ascii="Times New Roman" w:hAnsi="Times New Roman" w:cs="Times New Roman"/>
          <w:sz w:val="24"/>
          <w:szCs w:val="24"/>
        </w:rPr>
        <w:t xml:space="preserve">was </w:t>
      </w:r>
      <w:r>
        <w:rPr>
          <w:rFonts w:ascii="Times New Roman" w:hAnsi="Times New Roman" w:cs="Times New Roman"/>
          <w:sz w:val="24"/>
          <w:szCs w:val="24"/>
        </w:rPr>
        <w:t xml:space="preserve">the third of four sources of self-efficacy used as independent variables in this study. This source of self-efficacy is derived from attempts of one </w:t>
      </w:r>
      <w:r w:rsidR="00746160">
        <w:rPr>
          <w:rFonts w:ascii="Times New Roman" w:hAnsi="Times New Roman" w:cs="Times New Roman"/>
          <w:sz w:val="24"/>
          <w:szCs w:val="24"/>
        </w:rPr>
        <w:t>individual</w:t>
      </w:r>
      <w:r>
        <w:rPr>
          <w:rFonts w:ascii="Times New Roman" w:hAnsi="Times New Roman" w:cs="Times New Roman"/>
          <w:sz w:val="24"/>
          <w:szCs w:val="24"/>
        </w:rPr>
        <w:t xml:space="preserve"> to persuade or affect another</w:t>
      </w:r>
      <w:r w:rsidR="00654D4C">
        <w:rPr>
          <w:rFonts w:ascii="Times New Roman" w:hAnsi="Times New Roman" w:cs="Times New Roman"/>
          <w:sz w:val="24"/>
          <w:szCs w:val="24"/>
        </w:rPr>
        <w:t>’</w:t>
      </w:r>
      <w:r>
        <w:rPr>
          <w:rFonts w:ascii="Times New Roman" w:hAnsi="Times New Roman" w:cs="Times New Roman"/>
          <w:sz w:val="24"/>
          <w:szCs w:val="24"/>
        </w:rPr>
        <w:t xml:space="preserve">s behavior. Data </w:t>
      </w:r>
      <w:r w:rsidR="00AF5110">
        <w:rPr>
          <w:rFonts w:ascii="Times New Roman" w:hAnsi="Times New Roman" w:cs="Times New Roman"/>
          <w:sz w:val="24"/>
          <w:szCs w:val="24"/>
        </w:rPr>
        <w:t xml:space="preserve">were </w:t>
      </w:r>
      <w:r>
        <w:rPr>
          <w:rFonts w:ascii="Times New Roman" w:hAnsi="Times New Roman" w:cs="Times New Roman"/>
          <w:sz w:val="24"/>
          <w:szCs w:val="24"/>
        </w:rPr>
        <w:t xml:space="preserve">obtained from the administration of </w:t>
      </w:r>
      <w:r w:rsidR="00746160">
        <w:rPr>
          <w:rFonts w:ascii="Times New Roman" w:hAnsi="Times New Roman" w:cs="Times New Roman"/>
          <w:sz w:val="24"/>
          <w:szCs w:val="24"/>
        </w:rPr>
        <w:t>the SOSESC</w:t>
      </w:r>
      <w:r>
        <w:rPr>
          <w:rFonts w:ascii="Times New Roman" w:hAnsi="Times New Roman" w:cs="Times New Roman"/>
          <w:sz w:val="24"/>
          <w:szCs w:val="24"/>
        </w:rPr>
        <w:t xml:space="preserve">-P instrument </w:t>
      </w:r>
      <w:r w:rsidR="006E0823">
        <w:rPr>
          <w:rFonts w:ascii="Times New Roman" w:hAnsi="Times New Roman" w:cs="Times New Roman"/>
          <w:sz w:val="24"/>
          <w:szCs w:val="24"/>
        </w:rPr>
        <w:t xml:space="preserve">with results provided </w:t>
      </w:r>
      <w:r>
        <w:rPr>
          <w:rFonts w:ascii="Times New Roman" w:hAnsi="Times New Roman" w:cs="Times New Roman"/>
          <w:sz w:val="24"/>
          <w:szCs w:val="24"/>
        </w:rPr>
        <w:t xml:space="preserve">on an Excel spreadsheet. Reverse </w:t>
      </w:r>
      <w:r w:rsidR="00707AE2">
        <w:rPr>
          <w:rFonts w:ascii="Times New Roman" w:hAnsi="Times New Roman" w:cs="Times New Roman"/>
          <w:sz w:val="24"/>
          <w:szCs w:val="24"/>
        </w:rPr>
        <w:t>scoring</w:t>
      </w:r>
      <w:r>
        <w:rPr>
          <w:rFonts w:ascii="Times New Roman" w:hAnsi="Times New Roman" w:cs="Times New Roman"/>
          <w:sz w:val="24"/>
          <w:szCs w:val="24"/>
        </w:rPr>
        <w:t xml:space="preserve"> was applied and an average score for the seven social persuasion items were averaged for each participant on </w:t>
      </w:r>
      <w:r w:rsidR="000262DE">
        <w:rPr>
          <w:rFonts w:ascii="Times New Roman" w:hAnsi="Times New Roman" w:cs="Times New Roman"/>
          <w:sz w:val="24"/>
          <w:szCs w:val="24"/>
        </w:rPr>
        <w:t>an</w:t>
      </w:r>
      <w:r>
        <w:rPr>
          <w:rFonts w:ascii="Times New Roman" w:hAnsi="Times New Roman" w:cs="Times New Roman"/>
          <w:sz w:val="24"/>
          <w:szCs w:val="24"/>
        </w:rPr>
        <w:t xml:space="preserve"> Excel document before being loaded in to SPSS (</w:t>
      </w:r>
      <w:r w:rsidR="0014055B">
        <w:rPr>
          <w:rFonts w:ascii="Times New Roman" w:hAnsi="Times New Roman" w:cs="Times New Roman"/>
          <w:sz w:val="24"/>
          <w:szCs w:val="24"/>
        </w:rPr>
        <w:t>A</w:t>
      </w:r>
      <w:r>
        <w:rPr>
          <w:rFonts w:ascii="Times New Roman" w:hAnsi="Times New Roman" w:cs="Times New Roman"/>
          <w:sz w:val="24"/>
          <w:szCs w:val="24"/>
        </w:rPr>
        <w:t>ppendix C ).</w:t>
      </w:r>
    </w:p>
    <w:p w14:paraId="734B5F2E" w14:textId="32DD869C" w:rsidR="005155B5" w:rsidRDefault="005155B5" w:rsidP="00177FB0">
      <w:pPr>
        <w:widowControl w:val="0"/>
        <w:spacing w:after="0" w:line="480" w:lineRule="auto"/>
        <w:rPr>
          <w:rFonts w:ascii="Times New Roman" w:hAnsi="Times New Roman" w:cs="Times New Roman"/>
          <w:b/>
          <w:i/>
          <w:sz w:val="24"/>
          <w:szCs w:val="24"/>
        </w:rPr>
      </w:pPr>
      <w:r>
        <w:rPr>
          <w:rFonts w:ascii="Times New Roman" w:hAnsi="Times New Roman" w:cs="Times New Roman"/>
          <w:b/>
          <w:i/>
          <w:sz w:val="24"/>
          <w:szCs w:val="24"/>
        </w:rPr>
        <w:t>Physi</w:t>
      </w:r>
      <w:r w:rsidR="00CC66DB">
        <w:rPr>
          <w:rFonts w:ascii="Times New Roman" w:hAnsi="Times New Roman" w:cs="Times New Roman"/>
          <w:b/>
          <w:i/>
          <w:sz w:val="24"/>
          <w:szCs w:val="24"/>
        </w:rPr>
        <w:t>o</w:t>
      </w:r>
      <w:r>
        <w:rPr>
          <w:rFonts w:ascii="Times New Roman" w:hAnsi="Times New Roman" w:cs="Times New Roman"/>
          <w:b/>
          <w:i/>
          <w:sz w:val="24"/>
          <w:szCs w:val="24"/>
        </w:rPr>
        <w:t>logical State</w:t>
      </w:r>
    </w:p>
    <w:p w14:paraId="0ACD5C5F" w14:textId="691DDD99" w:rsidR="00997CC4" w:rsidRDefault="005155B5" w:rsidP="00177FB0">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Physiological state </w:t>
      </w:r>
      <w:r w:rsidR="006E0823" w:rsidRPr="00995FF2">
        <w:rPr>
          <w:rFonts w:ascii="Times New Roman" w:hAnsi="Times New Roman" w:cs="Times New Roman"/>
          <w:sz w:val="24"/>
          <w:szCs w:val="24"/>
        </w:rPr>
        <w:t>(PS)</w:t>
      </w:r>
      <w:r w:rsidR="006E0823">
        <w:rPr>
          <w:rFonts w:ascii="Times New Roman" w:hAnsi="Times New Roman" w:cs="Times New Roman"/>
          <w:sz w:val="24"/>
          <w:szCs w:val="24"/>
        </w:rPr>
        <w:t xml:space="preserve"> </w:t>
      </w:r>
      <w:r w:rsidR="00CC66DB">
        <w:rPr>
          <w:rFonts w:ascii="Times New Roman" w:hAnsi="Times New Roman" w:cs="Times New Roman"/>
          <w:sz w:val="24"/>
          <w:szCs w:val="24"/>
        </w:rPr>
        <w:t xml:space="preserve">was </w:t>
      </w:r>
      <w:r>
        <w:rPr>
          <w:rFonts w:ascii="Times New Roman" w:hAnsi="Times New Roman" w:cs="Times New Roman"/>
          <w:sz w:val="24"/>
          <w:szCs w:val="24"/>
        </w:rPr>
        <w:t xml:space="preserve">the fourth of four sources of self-efficacy used as independent variables in this study. This source of self-efficacy is derived from how a student feels after completing a task. Examples could include fatigue or </w:t>
      </w:r>
      <w:r w:rsidR="00746160">
        <w:rPr>
          <w:rFonts w:ascii="Times New Roman" w:hAnsi="Times New Roman" w:cs="Times New Roman"/>
          <w:sz w:val="24"/>
          <w:szCs w:val="24"/>
        </w:rPr>
        <w:t>satisfaction</w:t>
      </w:r>
      <w:r>
        <w:rPr>
          <w:rFonts w:ascii="Times New Roman" w:hAnsi="Times New Roman" w:cs="Times New Roman"/>
          <w:sz w:val="24"/>
          <w:szCs w:val="24"/>
        </w:rPr>
        <w:t xml:space="preserve">. Data </w:t>
      </w:r>
      <w:r w:rsidR="00AF5110">
        <w:rPr>
          <w:rFonts w:ascii="Times New Roman" w:hAnsi="Times New Roman" w:cs="Times New Roman"/>
          <w:sz w:val="24"/>
          <w:szCs w:val="24"/>
        </w:rPr>
        <w:t xml:space="preserve">were </w:t>
      </w:r>
      <w:r>
        <w:rPr>
          <w:rFonts w:ascii="Times New Roman" w:hAnsi="Times New Roman" w:cs="Times New Roman"/>
          <w:sz w:val="24"/>
          <w:szCs w:val="24"/>
        </w:rPr>
        <w:t xml:space="preserve">obtained from the administration of the SOSESC-P instrument </w:t>
      </w:r>
      <w:r w:rsidR="006E0823">
        <w:rPr>
          <w:rFonts w:ascii="Times New Roman" w:hAnsi="Times New Roman" w:cs="Times New Roman"/>
          <w:sz w:val="24"/>
          <w:szCs w:val="24"/>
        </w:rPr>
        <w:t xml:space="preserve">with results provided </w:t>
      </w:r>
      <w:r>
        <w:rPr>
          <w:rFonts w:ascii="Times New Roman" w:hAnsi="Times New Roman" w:cs="Times New Roman"/>
          <w:sz w:val="24"/>
          <w:szCs w:val="24"/>
        </w:rPr>
        <w:t xml:space="preserve">on an Excel spreadsheet. Reverse </w:t>
      </w:r>
      <w:r w:rsidR="00707AE2">
        <w:rPr>
          <w:rFonts w:ascii="Times New Roman" w:hAnsi="Times New Roman" w:cs="Times New Roman"/>
          <w:sz w:val="24"/>
          <w:szCs w:val="24"/>
        </w:rPr>
        <w:t>scoring</w:t>
      </w:r>
      <w:r>
        <w:rPr>
          <w:rFonts w:ascii="Times New Roman" w:hAnsi="Times New Roman" w:cs="Times New Roman"/>
          <w:sz w:val="24"/>
          <w:szCs w:val="24"/>
        </w:rPr>
        <w:t xml:space="preserve"> was applied and an average score for the nine physiological state items were averaged for participant</w:t>
      </w:r>
      <w:r w:rsidR="00B94BFC">
        <w:rPr>
          <w:rFonts w:ascii="Times New Roman" w:hAnsi="Times New Roman" w:cs="Times New Roman"/>
          <w:sz w:val="24"/>
          <w:szCs w:val="24"/>
        </w:rPr>
        <w:t>s</w:t>
      </w:r>
      <w:r>
        <w:rPr>
          <w:rFonts w:ascii="Times New Roman" w:hAnsi="Times New Roman" w:cs="Times New Roman"/>
          <w:sz w:val="24"/>
          <w:szCs w:val="24"/>
        </w:rPr>
        <w:t xml:space="preserve"> on </w:t>
      </w:r>
      <w:r w:rsidR="000262DE">
        <w:rPr>
          <w:rFonts w:ascii="Times New Roman" w:hAnsi="Times New Roman" w:cs="Times New Roman"/>
          <w:sz w:val="24"/>
          <w:szCs w:val="24"/>
        </w:rPr>
        <w:t>an</w:t>
      </w:r>
      <w:r>
        <w:rPr>
          <w:rFonts w:ascii="Times New Roman" w:hAnsi="Times New Roman" w:cs="Times New Roman"/>
          <w:sz w:val="24"/>
          <w:szCs w:val="24"/>
        </w:rPr>
        <w:t xml:space="preserve"> Excel document before being </w:t>
      </w:r>
      <w:r w:rsidR="00B94BFC">
        <w:rPr>
          <w:rFonts w:ascii="Times New Roman" w:hAnsi="Times New Roman" w:cs="Times New Roman"/>
          <w:sz w:val="24"/>
          <w:szCs w:val="24"/>
        </w:rPr>
        <w:t>entry in</w:t>
      </w:r>
      <w:r>
        <w:rPr>
          <w:rFonts w:ascii="Times New Roman" w:hAnsi="Times New Roman" w:cs="Times New Roman"/>
          <w:sz w:val="24"/>
          <w:szCs w:val="24"/>
        </w:rPr>
        <w:t xml:space="preserve"> SPSS (</w:t>
      </w:r>
      <w:r w:rsidR="0014055B">
        <w:rPr>
          <w:rFonts w:ascii="Times New Roman" w:hAnsi="Times New Roman" w:cs="Times New Roman"/>
          <w:sz w:val="24"/>
          <w:szCs w:val="24"/>
        </w:rPr>
        <w:t>A</w:t>
      </w:r>
      <w:r>
        <w:rPr>
          <w:rFonts w:ascii="Times New Roman" w:hAnsi="Times New Roman" w:cs="Times New Roman"/>
          <w:sz w:val="24"/>
          <w:szCs w:val="24"/>
        </w:rPr>
        <w:t>ppendix C</w:t>
      </w:r>
      <w:r w:rsidR="000262DE">
        <w:rPr>
          <w:rFonts w:ascii="Times New Roman" w:hAnsi="Times New Roman" w:cs="Times New Roman"/>
          <w:sz w:val="24"/>
          <w:szCs w:val="24"/>
        </w:rPr>
        <w:t>)</w:t>
      </w:r>
      <w:r w:rsidR="00654D4C">
        <w:rPr>
          <w:rFonts w:ascii="Times New Roman" w:hAnsi="Times New Roman" w:cs="Times New Roman"/>
          <w:sz w:val="24"/>
          <w:szCs w:val="24"/>
        </w:rPr>
        <w:t>.</w:t>
      </w:r>
    </w:p>
    <w:p w14:paraId="5E8A24CC" w14:textId="5FE786BC" w:rsidR="00963739" w:rsidRPr="00B67D2C" w:rsidRDefault="006C60E5" w:rsidP="00177FB0">
      <w:pPr>
        <w:widowControl w:val="0"/>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Preliminary </w:t>
      </w:r>
      <w:r w:rsidR="00746160">
        <w:rPr>
          <w:rFonts w:ascii="Times New Roman" w:hAnsi="Times New Roman" w:cs="Times New Roman"/>
          <w:b/>
          <w:sz w:val="24"/>
          <w:szCs w:val="24"/>
        </w:rPr>
        <w:t>Analysis</w:t>
      </w:r>
    </w:p>
    <w:p w14:paraId="2DBDCA8B" w14:textId="0DF3B724" w:rsidR="00FE1D16" w:rsidRDefault="00B95E8B" w:rsidP="00FE1D16">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Data with only student ID numbers as case identifiers (</w:t>
      </w:r>
      <w:r w:rsidR="003D60DD">
        <w:rPr>
          <w:rFonts w:ascii="Times New Roman" w:hAnsi="Times New Roman" w:cs="Times New Roman"/>
          <w:i/>
          <w:sz w:val="24"/>
          <w:szCs w:val="24"/>
        </w:rPr>
        <w:t>n</w:t>
      </w:r>
      <w:r>
        <w:rPr>
          <w:rFonts w:ascii="Times New Roman" w:hAnsi="Times New Roman" w:cs="Times New Roman"/>
          <w:sz w:val="24"/>
          <w:szCs w:val="24"/>
        </w:rPr>
        <w:t xml:space="preserve"> = 124) were </w:t>
      </w:r>
      <w:r w:rsidR="00746160">
        <w:rPr>
          <w:rFonts w:ascii="Times New Roman" w:hAnsi="Times New Roman" w:cs="Times New Roman"/>
          <w:sz w:val="24"/>
          <w:szCs w:val="24"/>
        </w:rPr>
        <w:t>imported</w:t>
      </w:r>
      <w:r>
        <w:rPr>
          <w:rFonts w:ascii="Times New Roman" w:hAnsi="Times New Roman" w:cs="Times New Roman"/>
          <w:sz w:val="24"/>
          <w:szCs w:val="24"/>
        </w:rPr>
        <w:t xml:space="preserve"> into SPSS with a preliminary linear regression used for an </w:t>
      </w:r>
      <w:r w:rsidR="00746160">
        <w:rPr>
          <w:rFonts w:ascii="Times New Roman" w:hAnsi="Times New Roman" w:cs="Times New Roman"/>
          <w:sz w:val="24"/>
          <w:szCs w:val="24"/>
        </w:rPr>
        <w:t>initial</w:t>
      </w:r>
      <w:r>
        <w:rPr>
          <w:rFonts w:ascii="Times New Roman" w:hAnsi="Times New Roman" w:cs="Times New Roman"/>
          <w:sz w:val="24"/>
          <w:szCs w:val="24"/>
        </w:rPr>
        <w:t xml:space="preserve"> analysis. </w:t>
      </w:r>
      <w:r w:rsidR="00B94BFC">
        <w:rPr>
          <w:rFonts w:ascii="Times New Roman" w:hAnsi="Times New Roman" w:cs="Times New Roman"/>
          <w:sz w:val="24"/>
          <w:szCs w:val="24"/>
        </w:rPr>
        <w:t>The c</w:t>
      </w:r>
      <w:r>
        <w:rPr>
          <w:rFonts w:ascii="Times New Roman" w:hAnsi="Times New Roman" w:cs="Times New Roman"/>
          <w:sz w:val="24"/>
          <w:szCs w:val="24"/>
        </w:rPr>
        <w:t xml:space="preserve">ollinearity statistics were computed and </w:t>
      </w:r>
      <w:r w:rsidR="007920F7">
        <w:rPr>
          <w:rFonts w:ascii="Times New Roman" w:hAnsi="Times New Roman" w:cs="Times New Roman"/>
          <w:sz w:val="24"/>
          <w:szCs w:val="24"/>
        </w:rPr>
        <w:t>reported</w:t>
      </w:r>
      <w:r w:rsidR="00997CC4">
        <w:rPr>
          <w:rFonts w:ascii="Times New Roman" w:hAnsi="Times New Roman" w:cs="Times New Roman"/>
          <w:sz w:val="24"/>
          <w:szCs w:val="24"/>
        </w:rPr>
        <w:t xml:space="preserve"> (Table 5)</w:t>
      </w:r>
      <w:r w:rsidR="006C60E5">
        <w:rPr>
          <w:rFonts w:ascii="Times New Roman" w:hAnsi="Times New Roman" w:cs="Times New Roman"/>
          <w:sz w:val="24"/>
          <w:szCs w:val="24"/>
        </w:rPr>
        <w:t xml:space="preserve">. </w:t>
      </w:r>
    </w:p>
    <w:p w14:paraId="628F23B6" w14:textId="77777777" w:rsidR="00FE1D16" w:rsidRDefault="00FE1D16" w:rsidP="00FE1D16">
      <w:pPr>
        <w:widowControl w:val="0"/>
        <w:spacing w:after="0" w:line="480" w:lineRule="auto"/>
        <w:ind w:firstLine="720"/>
        <w:rPr>
          <w:rFonts w:ascii="Times New Roman" w:hAnsi="Times New Roman" w:cs="Times New Roman"/>
          <w:sz w:val="24"/>
          <w:szCs w:val="24"/>
        </w:rPr>
      </w:pPr>
    </w:p>
    <w:p w14:paraId="209EB53C" w14:textId="2F370A32" w:rsidR="00AF0294" w:rsidRPr="00AE6605" w:rsidRDefault="00997CC4" w:rsidP="00177FB0">
      <w:pPr>
        <w:widowControl w:val="0"/>
        <w:spacing w:after="0" w:line="480" w:lineRule="auto"/>
        <w:rPr>
          <w:rFonts w:ascii="Times New Roman" w:hAnsi="Times New Roman" w:cs="Times New Roman"/>
          <w:b/>
          <w:bCs/>
          <w:sz w:val="24"/>
          <w:szCs w:val="24"/>
        </w:rPr>
      </w:pPr>
      <w:r w:rsidRPr="00AE6605">
        <w:rPr>
          <w:rFonts w:ascii="Times New Roman" w:hAnsi="Times New Roman" w:cs="Times New Roman"/>
          <w:b/>
          <w:bCs/>
          <w:sz w:val="24"/>
          <w:szCs w:val="24"/>
        </w:rPr>
        <w:lastRenderedPageBreak/>
        <w:t>Table 5</w:t>
      </w:r>
    </w:p>
    <w:p w14:paraId="51A4F327" w14:textId="4FFA8DA5" w:rsidR="00997CC4" w:rsidRPr="00B95E8B" w:rsidRDefault="00997CC4" w:rsidP="00177FB0">
      <w:pPr>
        <w:widowControl w:val="0"/>
        <w:spacing w:after="0" w:line="480" w:lineRule="auto"/>
        <w:rPr>
          <w:rFonts w:ascii="Times New Roman" w:hAnsi="Times New Roman" w:cs="Times New Roman"/>
          <w:i/>
          <w:sz w:val="24"/>
          <w:szCs w:val="24"/>
        </w:rPr>
      </w:pPr>
      <w:r w:rsidRPr="00B95E8B">
        <w:rPr>
          <w:rFonts w:ascii="Times New Roman" w:hAnsi="Times New Roman" w:cs="Times New Roman"/>
          <w:i/>
          <w:sz w:val="24"/>
          <w:szCs w:val="24"/>
        </w:rPr>
        <w:t xml:space="preserve">Collinearity Statistics for </w:t>
      </w:r>
      <w:r w:rsidR="00956952">
        <w:rPr>
          <w:rFonts w:ascii="Times New Roman" w:hAnsi="Times New Roman" w:cs="Times New Roman"/>
          <w:i/>
          <w:sz w:val="24"/>
          <w:szCs w:val="24"/>
        </w:rPr>
        <w:t xml:space="preserve">Predictors of Second Year </w:t>
      </w:r>
      <w:r w:rsidR="00AF0294">
        <w:rPr>
          <w:rFonts w:ascii="Times New Roman" w:hAnsi="Times New Roman" w:cs="Times New Roman"/>
          <w:i/>
          <w:sz w:val="24"/>
          <w:szCs w:val="24"/>
        </w:rPr>
        <w:t xml:space="preserve">High School </w:t>
      </w:r>
      <w:r w:rsidR="00956952">
        <w:rPr>
          <w:rFonts w:ascii="Times New Roman" w:hAnsi="Times New Roman" w:cs="Times New Roman"/>
          <w:i/>
          <w:sz w:val="24"/>
          <w:szCs w:val="24"/>
        </w:rPr>
        <w:t>Physics Enrollment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
      <w:tblGrid>
        <w:gridCol w:w="1700"/>
        <w:gridCol w:w="1697"/>
      </w:tblGrid>
      <w:tr w:rsidR="00997CC4" w14:paraId="36B54E1D" w14:textId="77777777" w:rsidTr="00BA4A2D">
        <w:trPr>
          <w:trHeight w:hRule="exact" w:val="325"/>
        </w:trPr>
        <w:tc>
          <w:tcPr>
            <w:tcW w:w="1700" w:type="dxa"/>
            <w:tcBorders>
              <w:top w:val="single" w:sz="4" w:space="0" w:color="auto"/>
              <w:bottom w:val="single" w:sz="4" w:space="0" w:color="auto"/>
            </w:tcBorders>
          </w:tcPr>
          <w:p w14:paraId="4010F470" w14:textId="77777777" w:rsidR="00997CC4" w:rsidRDefault="00997CC4" w:rsidP="00BA4A2D">
            <w:pPr>
              <w:widowControl w:val="0"/>
              <w:spacing w:after="0" w:line="240" w:lineRule="auto"/>
              <w:jc w:val="center"/>
            </w:pPr>
            <w:r>
              <w:t>Variable</w:t>
            </w:r>
          </w:p>
        </w:tc>
        <w:tc>
          <w:tcPr>
            <w:tcW w:w="1697" w:type="dxa"/>
            <w:tcBorders>
              <w:top w:val="single" w:sz="4" w:space="0" w:color="auto"/>
              <w:bottom w:val="single" w:sz="4" w:space="0" w:color="auto"/>
            </w:tcBorders>
          </w:tcPr>
          <w:p w14:paraId="657E3B49" w14:textId="77777777" w:rsidR="00997CC4" w:rsidRPr="00860722" w:rsidRDefault="00997CC4" w:rsidP="00BA4A2D">
            <w:pPr>
              <w:widowControl w:val="0"/>
              <w:spacing w:after="0" w:line="240" w:lineRule="auto"/>
              <w:jc w:val="center"/>
              <w:rPr>
                <w:i/>
              </w:rPr>
            </w:pPr>
            <w:r>
              <w:rPr>
                <w:i/>
              </w:rPr>
              <w:t>VIF</w:t>
            </w:r>
          </w:p>
        </w:tc>
      </w:tr>
      <w:tr w:rsidR="00997CC4" w14:paraId="24EE0291" w14:textId="77777777" w:rsidTr="00BA4A2D">
        <w:trPr>
          <w:trHeight w:hRule="exact" w:val="271"/>
        </w:trPr>
        <w:tc>
          <w:tcPr>
            <w:tcW w:w="1700" w:type="dxa"/>
            <w:tcBorders>
              <w:top w:val="single" w:sz="4" w:space="0" w:color="auto"/>
            </w:tcBorders>
          </w:tcPr>
          <w:p w14:paraId="64828C45" w14:textId="62B7F846" w:rsidR="00997CC4" w:rsidRPr="00AE6605" w:rsidRDefault="00997CC4" w:rsidP="00BA4A2D">
            <w:pPr>
              <w:widowControl w:val="0"/>
              <w:spacing w:after="0" w:line="240" w:lineRule="auto"/>
              <w:rPr>
                <w:iCs/>
                <w:vertAlign w:val="superscript"/>
              </w:rPr>
            </w:pPr>
            <w:r w:rsidRPr="00AE6605">
              <w:rPr>
                <w:iCs/>
              </w:rPr>
              <w:t>S1G</w:t>
            </w:r>
          </w:p>
        </w:tc>
        <w:tc>
          <w:tcPr>
            <w:tcW w:w="1697" w:type="dxa"/>
            <w:tcBorders>
              <w:top w:val="single" w:sz="4" w:space="0" w:color="auto"/>
            </w:tcBorders>
          </w:tcPr>
          <w:p w14:paraId="7F4C15D1" w14:textId="77777777" w:rsidR="00997CC4" w:rsidRDefault="00997CC4" w:rsidP="00BA4A2D">
            <w:pPr>
              <w:widowControl w:val="0"/>
              <w:spacing w:after="0" w:line="240" w:lineRule="auto"/>
              <w:jc w:val="right"/>
            </w:pPr>
            <w:r>
              <w:t>1.046</w:t>
            </w:r>
          </w:p>
        </w:tc>
      </w:tr>
      <w:tr w:rsidR="00997CC4" w14:paraId="7AA6B6E7" w14:textId="77777777" w:rsidTr="00BA4A2D">
        <w:trPr>
          <w:trHeight w:hRule="exact" w:val="252"/>
        </w:trPr>
        <w:tc>
          <w:tcPr>
            <w:tcW w:w="1700" w:type="dxa"/>
          </w:tcPr>
          <w:p w14:paraId="59E53018" w14:textId="6926D3DF" w:rsidR="00997CC4" w:rsidRPr="00AE6605" w:rsidRDefault="00997CC4" w:rsidP="00BA4A2D">
            <w:pPr>
              <w:widowControl w:val="0"/>
              <w:spacing w:after="0" w:line="240" w:lineRule="auto"/>
              <w:rPr>
                <w:iCs/>
                <w:vertAlign w:val="superscript"/>
              </w:rPr>
            </w:pPr>
            <w:r w:rsidRPr="00AE6605">
              <w:rPr>
                <w:iCs/>
              </w:rPr>
              <w:t>PKG</w:t>
            </w:r>
          </w:p>
        </w:tc>
        <w:tc>
          <w:tcPr>
            <w:tcW w:w="1697" w:type="dxa"/>
          </w:tcPr>
          <w:p w14:paraId="4872E422" w14:textId="77777777" w:rsidR="00997CC4" w:rsidRDefault="00997CC4" w:rsidP="00BA4A2D">
            <w:pPr>
              <w:widowControl w:val="0"/>
              <w:spacing w:after="0" w:line="240" w:lineRule="auto"/>
              <w:jc w:val="right"/>
            </w:pPr>
            <w:r>
              <w:t>1.171</w:t>
            </w:r>
          </w:p>
        </w:tc>
      </w:tr>
      <w:tr w:rsidR="00997CC4" w14:paraId="0BDE38F0" w14:textId="77777777" w:rsidTr="00BA4A2D">
        <w:trPr>
          <w:trHeight w:hRule="exact" w:val="279"/>
        </w:trPr>
        <w:tc>
          <w:tcPr>
            <w:tcW w:w="1700" w:type="dxa"/>
          </w:tcPr>
          <w:p w14:paraId="68C3B1DA" w14:textId="74C578D1" w:rsidR="00997CC4" w:rsidRPr="00AE6605" w:rsidRDefault="00997CC4" w:rsidP="00BA4A2D">
            <w:pPr>
              <w:widowControl w:val="0"/>
              <w:spacing w:after="0" w:line="240" w:lineRule="auto"/>
              <w:rPr>
                <w:iCs/>
                <w:vertAlign w:val="superscript"/>
              </w:rPr>
            </w:pPr>
            <w:r w:rsidRPr="00AE6605">
              <w:rPr>
                <w:iCs/>
              </w:rPr>
              <w:t>ME</w:t>
            </w:r>
          </w:p>
        </w:tc>
        <w:tc>
          <w:tcPr>
            <w:tcW w:w="1697" w:type="dxa"/>
          </w:tcPr>
          <w:p w14:paraId="368AF4CD" w14:textId="77777777" w:rsidR="00997CC4" w:rsidRDefault="00997CC4" w:rsidP="00BA4A2D">
            <w:pPr>
              <w:widowControl w:val="0"/>
              <w:spacing w:after="0" w:line="240" w:lineRule="auto"/>
              <w:jc w:val="right"/>
            </w:pPr>
            <w:r>
              <w:t>3.801</w:t>
            </w:r>
          </w:p>
        </w:tc>
      </w:tr>
      <w:tr w:rsidR="00997CC4" w14:paraId="2351C243" w14:textId="77777777" w:rsidTr="00BA4A2D">
        <w:trPr>
          <w:trHeight w:hRule="exact" w:val="270"/>
        </w:trPr>
        <w:tc>
          <w:tcPr>
            <w:tcW w:w="1700" w:type="dxa"/>
          </w:tcPr>
          <w:p w14:paraId="673B0835" w14:textId="02FFC95E" w:rsidR="00997CC4" w:rsidRPr="00AE6605" w:rsidRDefault="00997CC4" w:rsidP="00BA4A2D">
            <w:pPr>
              <w:widowControl w:val="0"/>
              <w:spacing w:after="0" w:line="240" w:lineRule="auto"/>
              <w:rPr>
                <w:iCs/>
                <w:vertAlign w:val="superscript"/>
              </w:rPr>
            </w:pPr>
            <w:r w:rsidRPr="00AE6605">
              <w:rPr>
                <w:iCs/>
              </w:rPr>
              <w:t>VL</w:t>
            </w:r>
          </w:p>
        </w:tc>
        <w:tc>
          <w:tcPr>
            <w:tcW w:w="1697" w:type="dxa"/>
          </w:tcPr>
          <w:p w14:paraId="5EB6BBDC" w14:textId="77777777" w:rsidR="00997CC4" w:rsidRDefault="00997CC4" w:rsidP="00BA4A2D">
            <w:pPr>
              <w:widowControl w:val="0"/>
              <w:spacing w:after="0" w:line="240" w:lineRule="auto"/>
              <w:jc w:val="right"/>
            </w:pPr>
            <w:r>
              <w:t>4.493</w:t>
            </w:r>
          </w:p>
        </w:tc>
      </w:tr>
      <w:tr w:rsidR="00997CC4" w14:paraId="2C0D9B77" w14:textId="77777777" w:rsidTr="00BA4A2D">
        <w:trPr>
          <w:trHeight w:hRule="exact" w:val="270"/>
        </w:trPr>
        <w:tc>
          <w:tcPr>
            <w:tcW w:w="1700" w:type="dxa"/>
          </w:tcPr>
          <w:p w14:paraId="129647EE" w14:textId="45896FD3" w:rsidR="00997CC4" w:rsidRPr="00AE6605" w:rsidRDefault="00997CC4" w:rsidP="00BA4A2D">
            <w:pPr>
              <w:widowControl w:val="0"/>
              <w:spacing w:after="0" w:line="240" w:lineRule="auto"/>
              <w:rPr>
                <w:iCs/>
                <w:vertAlign w:val="superscript"/>
              </w:rPr>
            </w:pPr>
            <w:r w:rsidRPr="00AE6605">
              <w:rPr>
                <w:iCs/>
              </w:rPr>
              <w:t>SP</w:t>
            </w:r>
          </w:p>
        </w:tc>
        <w:tc>
          <w:tcPr>
            <w:tcW w:w="1697" w:type="dxa"/>
          </w:tcPr>
          <w:p w14:paraId="2A5222CB" w14:textId="77777777" w:rsidR="00997CC4" w:rsidRDefault="00997CC4" w:rsidP="00BA4A2D">
            <w:pPr>
              <w:widowControl w:val="0"/>
              <w:spacing w:after="0" w:line="240" w:lineRule="auto"/>
              <w:jc w:val="right"/>
            </w:pPr>
            <w:r>
              <w:t>1.700</w:t>
            </w:r>
          </w:p>
        </w:tc>
      </w:tr>
      <w:tr w:rsidR="00997CC4" w14:paraId="325B4E61" w14:textId="77777777" w:rsidTr="00BA4A2D">
        <w:trPr>
          <w:trHeight w:hRule="exact" w:val="261"/>
        </w:trPr>
        <w:tc>
          <w:tcPr>
            <w:tcW w:w="1700" w:type="dxa"/>
            <w:tcBorders>
              <w:bottom w:val="single" w:sz="4" w:space="0" w:color="auto"/>
            </w:tcBorders>
          </w:tcPr>
          <w:p w14:paraId="2111F647" w14:textId="02184968" w:rsidR="00997CC4" w:rsidRPr="00AE6605" w:rsidRDefault="00997CC4" w:rsidP="00BA4A2D">
            <w:pPr>
              <w:widowControl w:val="0"/>
              <w:spacing w:after="0" w:line="240" w:lineRule="auto"/>
              <w:rPr>
                <w:iCs/>
                <w:vertAlign w:val="superscript"/>
              </w:rPr>
            </w:pPr>
            <w:r w:rsidRPr="00AE6605">
              <w:rPr>
                <w:iCs/>
              </w:rPr>
              <w:t>PS</w:t>
            </w:r>
          </w:p>
        </w:tc>
        <w:tc>
          <w:tcPr>
            <w:tcW w:w="1697" w:type="dxa"/>
            <w:tcBorders>
              <w:bottom w:val="single" w:sz="4" w:space="0" w:color="auto"/>
            </w:tcBorders>
          </w:tcPr>
          <w:p w14:paraId="4921D7A9" w14:textId="77777777" w:rsidR="00997CC4" w:rsidRDefault="00997CC4" w:rsidP="00BA4A2D">
            <w:pPr>
              <w:widowControl w:val="0"/>
              <w:spacing w:after="0" w:line="240" w:lineRule="auto"/>
              <w:jc w:val="right"/>
            </w:pPr>
            <w:r>
              <w:t>3.650</w:t>
            </w:r>
          </w:p>
        </w:tc>
      </w:tr>
    </w:tbl>
    <w:p w14:paraId="1C729FD1" w14:textId="3F3223F8" w:rsidR="00997CC4" w:rsidRDefault="00C52DCC" w:rsidP="000943B8">
      <w:pPr>
        <w:widowControl w:val="0"/>
        <w:spacing w:after="0" w:line="480" w:lineRule="auto"/>
        <w:rPr>
          <w:rFonts w:ascii="Times New Roman" w:hAnsi="Times New Roman" w:cs="Times New Roman"/>
          <w:sz w:val="24"/>
          <w:szCs w:val="24"/>
        </w:rPr>
      </w:pPr>
      <w:r w:rsidRPr="00BA4A2D">
        <w:rPr>
          <w:rFonts w:ascii="Times New Roman" w:hAnsi="Times New Roman" w:cs="Times New Roman"/>
          <w:i/>
          <w:sz w:val="24"/>
          <w:szCs w:val="24"/>
        </w:rPr>
        <w:t>Note</w:t>
      </w:r>
      <w:r w:rsidRPr="00BA4A2D">
        <w:rPr>
          <w:rFonts w:ascii="Times New Roman" w:hAnsi="Times New Roman" w:cs="Times New Roman"/>
          <w:sz w:val="24"/>
          <w:szCs w:val="24"/>
        </w:rPr>
        <w:t>. S1G = semester one grade, coded from A+</w:t>
      </w:r>
      <w:r w:rsidR="00C072E8" w:rsidRPr="00BA4A2D">
        <w:rPr>
          <w:rFonts w:ascii="Times New Roman" w:hAnsi="Times New Roman" w:cs="Times New Roman"/>
          <w:sz w:val="24"/>
          <w:szCs w:val="24"/>
        </w:rPr>
        <w:t xml:space="preserve"> =12</w:t>
      </w:r>
      <w:r w:rsidRPr="00BA4A2D">
        <w:rPr>
          <w:rFonts w:ascii="Times New Roman" w:hAnsi="Times New Roman" w:cs="Times New Roman"/>
          <w:sz w:val="24"/>
          <w:szCs w:val="24"/>
        </w:rPr>
        <w:t xml:space="preserve"> to </w:t>
      </w:r>
      <w:r w:rsidR="00DB1507" w:rsidRPr="00BA4A2D">
        <w:rPr>
          <w:rFonts w:ascii="Times New Roman" w:hAnsi="Times New Roman" w:cs="Times New Roman"/>
          <w:sz w:val="24"/>
          <w:szCs w:val="24"/>
        </w:rPr>
        <w:t xml:space="preserve">F </w:t>
      </w:r>
      <w:r w:rsidRPr="00BA4A2D">
        <w:rPr>
          <w:rFonts w:ascii="Times New Roman" w:hAnsi="Times New Roman" w:cs="Times New Roman"/>
          <w:sz w:val="24"/>
          <w:szCs w:val="24"/>
        </w:rPr>
        <w:t xml:space="preserve">= </w:t>
      </w:r>
      <w:r w:rsidR="00DB1507" w:rsidRPr="00BA4A2D">
        <w:rPr>
          <w:rFonts w:ascii="Times New Roman" w:hAnsi="Times New Roman" w:cs="Times New Roman"/>
          <w:sz w:val="24"/>
          <w:szCs w:val="24"/>
        </w:rPr>
        <w:t>0</w:t>
      </w:r>
      <w:r w:rsidRPr="00BA4A2D">
        <w:rPr>
          <w:rFonts w:ascii="Times New Roman" w:hAnsi="Times New Roman" w:cs="Times New Roman"/>
          <w:sz w:val="24"/>
          <w:szCs w:val="24"/>
        </w:rPr>
        <w:t xml:space="preserve">. </w:t>
      </w:r>
      <w:r w:rsidR="00993BB2" w:rsidRPr="00BA4A2D">
        <w:rPr>
          <w:rFonts w:ascii="Times New Roman" w:hAnsi="Times New Roman" w:cs="Times New Roman"/>
          <w:sz w:val="24"/>
          <w:szCs w:val="24"/>
        </w:rPr>
        <w:t xml:space="preserve">PKG = physics knowledge growth is measured on the </w:t>
      </w:r>
      <w:r w:rsidR="00AF5110">
        <w:rPr>
          <w:rFonts w:ascii="Times New Roman" w:hAnsi="Times New Roman" w:cs="Times New Roman"/>
          <w:sz w:val="24"/>
          <w:szCs w:val="24"/>
        </w:rPr>
        <w:t>FCI</w:t>
      </w:r>
      <w:r w:rsidR="00993BB2" w:rsidRPr="00BA4A2D">
        <w:rPr>
          <w:rFonts w:ascii="Times New Roman" w:hAnsi="Times New Roman" w:cs="Times New Roman"/>
          <w:sz w:val="24"/>
          <w:szCs w:val="24"/>
        </w:rPr>
        <w:t xml:space="preserve"> assessment and scored numerically from 0 to 30, post-course score minus pre-course score. </w:t>
      </w:r>
      <w:r w:rsidR="00AF5110" w:rsidRPr="00F50919">
        <w:rPr>
          <w:rFonts w:ascii="Times New Roman" w:hAnsi="Times New Roman" w:cs="Times New Roman"/>
          <w:sz w:val="24"/>
          <w:szCs w:val="24"/>
        </w:rPr>
        <w:t>ME = level of self-efficacy due to mastery experience</w:t>
      </w:r>
      <w:r w:rsidR="00AF5110">
        <w:rPr>
          <w:rFonts w:ascii="Times New Roman" w:hAnsi="Times New Roman" w:cs="Times New Roman"/>
          <w:sz w:val="24"/>
          <w:szCs w:val="24"/>
        </w:rPr>
        <w:t>,</w:t>
      </w:r>
      <w:r w:rsidR="00AF5110" w:rsidRPr="00F50919">
        <w:rPr>
          <w:rFonts w:ascii="Times New Roman" w:hAnsi="Times New Roman" w:cs="Times New Roman"/>
          <w:sz w:val="24"/>
          <w:szCs w:val="24"/>
        </w:rPr>
        <w:t xml:space="preserve"> VL = level of self-efficacy due to vicarious learning</w:t>
      </w:r>
      <w:r w:rsidR="00AF5110">
        <w:rPr>
          <w:rFonts w:ascii="Times New Roman" w:hAnsi="Times New Roman" w:cs="Times New Roman"/>
          <w:sz w:val="24"/>
          <w:szCs w:val="24"/>
        </w:rPr>
        <w:t>,</w:t>
      </w:r>
      <w:r w:rsidR="00AF5110" w:rsidRPr="00F50919">
        <w:rPr>
          <w:rFonts w:ascii="Times New Roman" w:hAnsi="Times New Roman" w:cs="Times New Roman"/>
          <w:sz w:val="24"/>
          <w:szCs w:val="24"/>
        </w:rPr>
        <w:t xml:space="preserve"> SP = level of self-efficacy due to social persuasion</w:t>
      </w:r>
      <w:r w:rsidR="00AF5110">
        <w:rPr>
          <w:rFonts w:ascii="Times New Roman" w:hAnsi="Times New Roman" w:cs="Times New Roman"/>
          <w:sz w:val="24"/>
          <w:szCs w:val="24"/>
        </w:rPr>
        <w:t>,</w:t>
      </w:r>
      <w:r w:rsidR="00AF5110" w:rsidRPr="00F50919">
        <w:rPr>
          <w:rFonts w:ascii="Times New Roman" w:hAnsi="Times New Roman" w:cs="Times New Roman"/>
          <w:sz w:val="24"/>
          <w:szCs w:val="24"/>
        </w:rPr>
        <w:t xml:space="preserve"> PS = level of self-efficacy due to physiological state</w:t>
      </w:r>
      <w:r w:rsidR="00AF5110">
        <w:rPr>
          <w:rFonts w:ascii="Times New Roman" w:hAnsi="Times New Roman" w:cs="Times New Roman"/>
          <w:sz w:val="24"/>
          <w:szCs w:val="24"/>
        </w:rPr>
        <w:t>. ME, VL, SP, and PS were</w:t>
      </w:r>
      <w:r w:rsidR="00AF5110" w:rsidRPr="00F50919">
        <w:rPr>
          <w:rFonts w:ascii="Times New Roman" w:hAnsi="Times New Roman" w:cs="Times New Roman"/>
          <w:sz w:val="24"/>
          <w:szCs w:val="24"/>
        </w:rPr>
        <w:t xml:space="preserve"> scored on a 1 to 5 Likert scale.</w:t>
      </w:r>
    </w:p>
    <w:p w14:paraId="06391DB8" w14:textId="77777777" w:rsidR="00FE1D16" w:rsidRDefault="00FE1D16" w:rsidP="00FE1D16">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variance inflation factors (VIF) values greater than 10.0 would be strong indicators of multicollinearity (Thompson et al., 2017). All VIF values were below 5.0 (Table 5) ruling out multicollinearity. The Mahalanobis distance was calculated for all 124 cases to screen for outliers. Four cases were found to have values larger than the chi-square critical value of 14.07. This critical value is appropriate for this study with significance of .05 and seven degrees of freedom. These cases were removed from the analysis, leaving 120 cases for the logistic regression analysis.</w:t>
      </w:r>
    </w:p>
    <w:p w14:paraId="6065B0E6" w14:textId="77777777" w:rsidR="003F2B44" w:rsidRPr="000C1DE8" w:rsidRDefault="003F2B44" w:rsidP="00BA4A2D">
      <w:pPr>
        <w:pStyle w:val="Heading2"/>
        <w:rPr>
          <w:rFonts w:eastAsia="Times New Roman"/>
        </w:rPr>
      </w:pPr>
      <w:bookmarkStart w:id="56" w:name="_Toc117501931"/>
      <w:r w:rsidRPr="000C1DE8">
        <w:rPr>
          <w:rFonts w:eastAsia="Times New Roman"/>
        </w:rPr>
        <w:t>Results</w:t>
      </w:r>
      <w:bookmarkEnd w:id="56"/>
    </w:p>
    <w:p w14:paraId="5EF8A5DD" w14:textId="70D38790" w:rsidR="006C60E5" w:rsidRDefault="006C60E5" w:rsidP="00BA4A2D">
      <w:pPr>
        <w:widowControl w:val="0"/>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Research Question </w:t>
      </w:r>
      <w:r w:rsidR="003A6062">
        <w:rPr>
          <w:rFonts w:ascii="Times New Roman" w:hAnsi="Times New Roman" w:cs="Times New Roman"/>
          <w:b/>
          <w:sz w:val="24"/>
          <w:szCs w:val="24"/>
        </w:rPr>
        <w:t>#</w:t>
      </w:r>
      <w:r>
        <w:rPr>
          <w:rFonts w:ascii="Times New Roman" w:hAnsi="Times New Roman" w:cs="Times New Roman"/>
          <w:b/>
          <w:sz w:val="24"/>
          <w:szCs w:val="24"/>
        </w:rPr>
        <w:t>1</w:t>
      </w:r>
    </w:p>
    <w:p w14:paraId="792C4CEB" w14:textId="6088A827" w:rsidR="009B44C0" w:rsidRDefault="006C60E5" w:rsidP="00BA4A2D">
      <w:pPr>
        <w:widowControl w:val="0"/>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F03378" w:rsidRPr="00C36928">
        <w:rPr>
          <w:rFonts w:ascii="Times New Roman" w:hAnsi="Times New Roman" w:cs="Times New Roman"/>
          <w:sz w:val="24"/>
          <w:szCs w:val="24"/>
        </w:rPr>
        <w:t>Logistic</w:t>
      </w:r>
      <w:r w:rsidR="00F03378">
        <w:rPr>
          <w:rFonts w:ascii="Times New Roman" w:hAnsi="Times New Roman" w:cs="Times New Roman"/>
          <w:sz w:val="24"/>
          <w:szCs w:val="24"/>
        </w:rPr>
        <w:t xml:space="preserve"> regression was performed on 120</w:t>
      </w:r>
      <w:r w:rsidR="00F03378" w:rsidRPr="00C36928">
        <w:rPr>
          <w:rFonts w:ascii="Times New Roman" w:hAnsi="Times New Roman" w:cs="Times New Roman"/>
          <w:sz w:val="24"/>
          <w:szCs w:val="24"/>
        </w:rPr>
        <w:t xml:space="preserve"> participants to determine if </w:t>
      </w:r>
      <w:r w:rsidR="00763316">
        <w:rPr>
          <w:rFonts w:ascii="Times New Roman" w:hAnsi="Times New Roman" w:cs="Times New Roman"/>
          <w:sz w:val="24"/>
          <w:szCs w:val="24"/>
        </w:rPr>
        <w:t xml:space="preserve">the four factors of </w:t>
      </w:r>
      <w:r w:rsidR="00F03378" w:rsidRPr="00C36928">
        <w:rPr>
          <w:rFonts w:ascii="Times New Roman" w:hAnsi="Times New Roman" w:cs="Times New Roman"/>
          <w:sz w:val="24"/>
          <w:szCs w:val="24"/>
        </w:rPr>
        <w:t xml:space="preserve">self-efficacy </w:t>
      </w:r>
      <w:r w:rsidR="00763316">
        <w:rPr>
          <w:rFonts w:ascii="Times New Roman" w:hAnsi="Times New Roman" w:cs="Times New Roman"/>
          <w:sz w:val="24"/>
          <w:szCs w:val="24"/>
        </w:rPr>
        <w:t>were</w:t>
      </w:r>
      <w:r w:rsidR="00F03378" w:rsidRPr="00C36928">
        <w:rPr>
          <w:rFonts w:ascii="Times New Roman" w:hAnsi="Times New Roman" w:cs="Times New Roman"/>
          <w:sz w:val="24"/>
          <w:szCs w:val="24"/>
        </w:rPr>
        <w:t xml:space="preserve"> significant predictor</w:t>
      </w:r>
      <w:r w:rsidR="00993BB2">
        <w:rPr>
          <w:rFonts w:ascii="Times New Roman" w:hAnsi="Times New Roman" w:cs="Times New Roman"/>
          <w:sz w:val="24"/>
          <w:szCs w:val="24"/>
        </w:rPr>
        <w:t xml:space="preserve">s </w:t>
      </w:r>
      <w:r w:rsidR="00F03378" w:rsidRPr="00C36928">
        <w:rPr>
          <w:rFonts w:ascii="Times New Roman" w:hAnsi="Times New Roman" w:cs="Times New Roman"/>
          <w:sz w:val="24"/>
          <w:szCs w:val="24"/>
        </w:rPr>
        <w:t>of high school students enrollin</w:t>
      </w:r>
      <w:r w:rsidR="00F03378">
        <w:rPr>
          <w:rFonts w:ascii="Times New Roman" w:hAnsi="Times New Roman" w:cs="Times New Roman"/>
          <w:sz w:val="24"/>
          <w:szCs w:val="24"/>
        </w:rPr>
        <w:t>g in a second year of physics</w:t>
      </w:r>
      <w:r w:rsidR="00993BB2">
        <w:rPr>
          <w:rFonts w:ascii="Times New Roman" w:hAnsi="Times New Roman" w:cs="Times New Roman"/>
          <w:sz w:val="24"/>
          <w:szCs w:val="24"/>
        </w:rPr>
        <w:t xml:space="preserve">, controlling for </w:t>
      </w:r>
      <w:r w:rsidR="00F03378" w:rsidRPr="00C36928">
        <w:rPr>
          <w:rFonts w:ascii="Times New Roman" w:hAnsi="Times New Roman" w:cs="Times New Roman"/>
          <w:sz w:val="24"/>
          <w:szCs w:val="24"/>
        </w:rPr>
        <w:t>semester one grade</w:t>
      </w:r>
      <w:r w:rsidR="005B69C5">
        <w:rPr>
          <w:rFonts w:ascii="Times New Roman" w:hAnsi="Times New Roman" w:cs="Times New Roman"/>
          <w:sz w:val="24"/>
          <w:szCs w:val="24"/>
        </w:rPr>
        <w:t xml:space="preserve"> </w:t>
      </w:r>
      <w:r w:rsidR="003C6FB0">
        <w:rPr>
          <w:rFonts w:ascii="Times New Roman" w:hAnsi="Times New Roman" w:cs="Times New Roman"/>
          <w:sz w:val="24"/>
          <w:szCs w:val="24"/>
        </w:rPr>
        <w:t>(</w:t>
      </w:r>
      <w:r w:rsidR="005B69C5" w:rsidRPr="00AE6605">
        <w:rPr>
          <w:rFonts w:ascii="Times New Roman" w:hAnsi="Times New Roman" w:cs="Times New Roman"/>
          <w:iCs/>
          <w:sz w:val="24"/>
          <w:szCs w:val="24"/>
        </w:rPr>
        <w:t>S1G</w:t>
      </w:r>
      <w:r w:rsidR="003C6FB0">
        <w:rPr>
          <w:rFonts w:ascii="Times New Roman" w:hAnsi="Times New Roman" w:cs="Times New Roman"/>
          <w:sz w:val="24"/>
          <w:szCs w:val="24"/>
        </w:rPr>
        <w:t>)</w:t>
      </w:r>
      <w:r w:rsidR="00746160">
        <w:rPr>
          <w:rFonts w:ascii="Times New Roman" w:hAnsi="Times New Roman" w:cs="Times New Roman"/>
          <w:sz w:val="24"/>
          <w:szCs w:val="24"/>
        </w:rPr>
        <w:t>,</w:t>
      </w:r>
      <w:r w:rsidR="00F03378" w:rsidRPr="00C36928">
        <w:rPr>
          <w:rFonts w:ascii="Times New Roman" w:hAnsi="Times New Roman" w:cs="Times New Roman"/>
          <w:sz w:val="24"/>
          <w:szCs w:val="24"/>
        </w:rPr>
        <w:t xml:space="preserve"> physics knowledge</w:t>
      </w:r>
      <w:r w:rsidR="005B69C5">
        <w:rPr>
          <w:rFonts w:ascii="Times New Roman" w:hAnsi="Times New Roman" w:cs="Times New Roman"/>
          <w:sz w:val="24"/>
          <w:szCs w:val="24"/>
        </w:rPr>
        <w:t xml:space="preserve"> growth</w:t>
      </w:r>
      <w:r w:rsidR="00F03378" w:rsidRPr="00C36928">
        <w:rPr>
          <w:rFonts w:ascii="Times New Roman" w:hAnsi="Times New Roman" w:cs="Times New Roman"/>
          <w:sz w:val="24"/>
          <w:szCs w:val="24"/>
        </w:rPr>
        <w:t xml:space="preserve"> on the FCI test</w:t>
      </w:r>
      <w:r w:rsidR="005B69C5">
        <w:rPr>
          <w:rFonts w:ascii="Times New Roman" w:hAnsi="Times New Roman" w:cs="Times New Roman"/>
          <w:sz w:val="24"/>
          <w:szCs w:val="24"/>
        </w:rPr>
        <w:t xml:space="preserve"> </w:t>
      </w:r>
      <w:r w:rsidR="003C6FB0">
        <w:rPr>
          <w:rFonts w:ascii="Times New Roman" w:hAnsi="Times New Roman" w:cs="Times New Roman"/>
          <w:sz w:val="24"/>
          <w:szCs w:val="24"/>
        </w:rPr>
        <w:lastRenderedPageBreak/>
        <w:t>(</w:t>
      </w:r>
      <w:r w:rsidR="005B69C5" w:rsidRPr="00AE6605">
        <w:rPr>
          <w:rFonts w:ascii="Times New Roman" w:hAnsi="Times New Roman" w:cs="Times New Roman"/>
          <w:iCs/>
          <w:sz w:val="24"/>
          <w:szCs w:val="24"/>
        </w:rPr>
        <w:t>PKG</w:t>
      </w:r>
      <w:r w:rsidR="003C6FB0">
        <w:rPr>
          <w:rFonts w:ascii="Times New Roman" w:hAnsi="Times New Roman" w:cs="Times New Roman"/>
          <w:sz w:val="24"/>
          <w:szCs w:val="24"/>
        </w:rPr>
        <w:t>)</w:t>
      </w:r>
      <w:r w:rsidR="00F03378" w:rsidRPr="00C36928">
        <w:rPr>
          <w:rFonts w:ascii="Times New Roman" w:hAnsi="Times New Roman" w:cs="Times New Roman"/>
          <w:sz w:val="24"/>
          <w:szCs w:val="24"/>
        </w:rPr>
        <w:t xml:space="preserve">, </w:t>
      </w:r>
      <w:r w:rsidR="00F03378">
        <w:rPr>
          <w:rFonts w:ascii="Times New Roman" w:hAnsi="Times New Roman" w:cs="Times New Roman"/>
          <w:sz w:val="24"/>
          <w:szCs w:val="24"/>
        </w:rPr>
        <w:t>and gender</w:t>
      </w:r>
      <w:r w:rsidR="005B69C5">
        <w:rPr>
          <w:rFonts w:ascii="Times New Roman" w:hAnsi="Times New Roman" w:cs="Times New Roman"/>
          <w:sz w:val="24"/>
          <w:szCs w:val="24"/>
        </w:rPr>
        <w:t xml:space="preserve"> </w:t>
      </w:r>
      <w:r w:rsidR="003C6FB0">
        <w:rPr>
          <w:rFonts w:ascii="Times New Roman" w:hAnsi="Times New Roman" w:cs="Times New Roman"/>
          <w:sz w:val="24"/>
          <w:szCs w:val="24"/>
        </w:rPr>
        <w:t>(</w:t>
      </w:r>
      <w:r w:rsidR="005B69C5" w:rsidRPr="00AE6605">
        <w:rPr>
          <w:rFonts w:ascii="Times New Roman" w:hAnsi="Times New Roman" w:cs="Times New Roman"/>
          <w:iCs/>
          <w:sz w:val="24"/>
          <w:szCs w:val="24"/>
        </w:rPr>
        <w:t>gender</w:t>
      </w:r>
      <w:r w:rsidR="003C6FB0">
        <w:rPr>
          <w:rFonts w:ascii="Times New Roman" w:hAnsi="Times New Roman" w:cs="Times New Roman"/>
          <w:sz w:val="24"/>
          <w:szCs w:val="24"/>
        </w:rPr>
        <w:t>)</w:t>
      </w:r>
      <w:r w:rsidR="00F03378">
        <w:rPr>
          <w:rFonts w:ascii="Times New Roman" w:hAnsi="Times New Roman" w:cs="Times New Roman"/>
          <w:sz w:val="24"/>
          <w:szCs w:val="24"/>
        </w:rPr>
        <w:t xml:space="preserve">. </w:t>
      </w:r>
      <w:r w:rsidR="003F130A">
        <w:rPr>
          <w:rFonts w:ascii="Times New Roman" w:hAnsi="Times New Roman" w:cs="Times New Roman"/>
          <w:sz w:val="24"/>
          <w:szCs w:val="24"/>
        </w:rPr>
        <w:t xml:space="preserve">The </w:t>
      </w:r>
      <w:r w:rsidR="00A561FD">
        <w:rPr>
          <w:rFonts w:ascii="Times New Roman" w:hAnsi="Times New Roman" w:cs="Times New Roman"/>
          <w:sz w:val="24"/>
          <w:szCs w:val="24"/>
        </w:rPr>
        <w:t xml:space="preserve">self-efficacy </w:t>
      </w:r>
      <w:r w:rsidR="00F03378">
        <w:rPr>
          <w:rFonts w:ascii="Times New Roman" w:hAnsi="Times New Roman" w:cs="Times New Roman"/>
          <w:sz w:val="24"/>
          <w:szCs w:val="24"/>
        </w:rPr>
        <w:t xml:space="preserve">predictor variables </w:t>
      </w:r>
      <w:r w:rsidR="00F625C9">
        <w:rPr>
          <w:rFonts w:ascii="Times New Roman" w:hAnsi="Times New Roman" w:cs="Times New Roman"/>
          <w:sz w:val="24"/>
          <w:szCs w:val="24"/>
        </w:rPr>
        <w:t>of</w:t>
      </w:r>
      <w:r w:rsidR="00F03378">
        <w:rPr>
          <w:rFonts w:ascii="Times New Roman" w:hAnsi="Times New Roman" w:cs="Times New Roman"/>
          <w:sz w:val="24"/>
          <w:szCs w:val="24"/>
        </w:rPr>
        <w:t xml:space="preserve"> mastery experience</w:t>
      </w:r>
      <w:r w:rsidR="005B69C5">
        <w:rPr>
          <w:rFonts w:ascii="Times New Roman" w:hAnsi="Times New Roman" w:cs="Times New Roman"/>
          <w:sz w:val="24"/>
          <w:szCs w:val="24"/>
        </w:rPr>
        <w:t xml:space="preserve"> </w:t>
      </w:r>
      <w:r w:rsidR="003C6FB0">
        <w:rPr>
          <w:rFonts w:ascii="Times New Roman" w:hAnsi="Times New Roman" w:cs="Times New Roman"/>
          <w:sz w:val="24"/>
          <w:szCs w:val="24"/>
        </w:rPr>
        <w:t>(</w:t>
      </w:r>
      <w:r w:rsidR="005B69C5" w:rsidRPr="00AE6605">
        <w:rPr>
          <w:rFonts w:ascii="Times New Roman" w:hAnsi="Times New Roman" w:cs="Times New Roman"/>
          <w:iCs/>
          <w:sz w:val="24"/>
          <w:szCs w:val="24"/>
        </w:rPr>
        <w:t>ME</w:t>
      </w:r>
      <w:r w:rsidR="003C6FB0">
        <w:rPr>
          <w:rFonts w:ascii="Times New Roman" w:hAnsi="Times New Roman" w:cs="Times New Roman"/>
          <w:sz w:val="24"/>
          <w:szCs w:val="24"/>
        </w:rPr>
        <w:t>)</w:t>
      </w:r>
      <w:r w:rsidR="00F03378">
        <w:rPr>
          <w:rFonts w:ascii="Times New Roman" w:hAnsi="Times New Roman" w:cs="Times New Roman"/>
          <w:sz w:val="24"/>
          <w:szCs w:val="24"/>
        </w:rPr>
        <w:t>, vicarious learning</w:t>
      </w:r>
      <w:r w:rsidR="005B69C5">
        <w:rPr>
          <w:rFonts w:ascii="Times New Roman" w:hAnsi="Times New Roman" w:cs="Times New Roman"/>
          <w:sz w:val="24"/>
          <w:szCs w:val="24"/>
        </w:rPr>
        <w:t xml:space="preserve"> </w:t>
      </w:r>
      <w:r w:rsidR="003C6FB0">
        <w:rPr>
          <w:rFonts w:ascii="Times New Roman" w:hAnsi="Times New Roman" w:cs="Times New Roman"/>
          <w:sz w:val="24"/>
          <w:szCs w:val="24"/>
        </w:rPr>
        <w:t>(</w:t>
      </w:r>
      <w:r w:rsidR="005B69C5" w:rsidRPr="00AE6605">
        <w:rPr>
          <w:rFonts w:ascii="Times New Roman" w:hAnsi="Times New Roman" w:cs="Times New Roman"/>
          <w:iCs/>
          <w:sz w:val="24"/>
          <w:szCs w:val="24"/>
        </w:rPr>
        <w:t>VL</w:t>
      </w:r>
      <w:r w:rsidR="003C6FB0">
        <w:rPr>
          <w:rFonts w:ascii="Times New Roman" w:hAnsi="Times New Roman" w:cs="Times New Roman"/>
          <w:sz w:val="24"/>
          <w:szCs w:val="24"/>
        </w:rPr>
        <w:t>)</w:t>
      </w:r>
      <w:r w:rsidR="00F03378">
        <w:rPr>
          <w:rFonts w:ascii="Times New Roman" w:hAnsi="Times New Roman" w:cs="Times New Roman"/>
          <w:sz w:val="24"/>
          <w:szCs w:val="24"/>
        </w:rPr>
        <w:t>, social persuasion</w:t>
      </w:r>
      <w:r w:rsidR="005B69C5">
        <w:rPr>
          <w:rFonts w:ascii="Times New Roman" w:hAnsi="Times New Roman" w:cs="Times New Roman"/>
          <w:sz w:val="24"/>
          <w:szCs w:val="24"/>
        </w:rPr>
        <w:t xml:space="preserve"> </w:t>
      </w:r>
      <w:r w:rsidR="003C6FB0">
        <w:rPr>
          <w:rFonts w:ascii="Times New Roman" w:hAnsi="Times New Roman" w:cs="Times New Roman"/>
          <w:sz w:val="24"/>
          <w:szCs w:val="24"/>
        </w:rPr>
        <w:t>(</w:t>
      </w:r>
      <w:r w:rsidR="005B69C5" w:rsidRPr="00AE6605">
        <w:rPr>
          <w:rFonts w:ascii="Times New Roman" w:hAnsi="Times New Roman" w:cs="Times New Roman"/>
          <w:iCs/>
          <w:sz w:val="24"/>
          <w:szCs w:val="24"/>
        </w:rPr>
        <w:t>SP</w:t>
      </w:r>
      <w:r w:rsidR="003C6FB0">
        <w:rPr>
          <w:rFonts w:ascii="Times New Roman" w:hAnsi="Times New Roman" w:cs="Times New Roman"/>
          <w:sz w:val="24"/>
          <w:szCs w:val="24"/>
        </w:rPr>
        <w:t>)</w:t>
      </w:r>
      <w:r w:rsidR="00F03378">
        <w:rPr>
          <w:rFonts w:ascii="Times New Roman" w:hAnsi="Times New Roman" w:cs="Times New Roman"/>
          <w:sz w:val="24"/>
          <w:szCs w:val="24"/>
        </w:rPr>
        <w:t>, and physiological state</w:t>
      </w:r>
      <w:r w:rsidR="005B69C5">
        <w:rPr>
          <w:rFonts w:ascii="Times New Roman" w:hAnsi="Times New Roman" w:cs="Times New Roman"/>
          <w:sz w:val="24"/>
          <w:szCs w:val="24"/>
        </w:rPr>
        <w:t xml:space="preserve"> </w:t>
      </w:r>
      <w:r w:rsidR="003C6FB0">
        <w:rPr>
          <w:rFonts w:ascii="Times New Roman" w:hAnsi="Times New Roman" w:cs="Times New Roman"/>
          <w:sz w:val="24"/>
          <w:szCs w:val="24"/>
        </w:rPr>
        <w:t>(</w:t>
      </w:r>
      <w:r w:rsidR="005B69C5" w:rsidRPr="00AE6605">
        <w:rPr>
          <w:rFonts w:ascii="Times New Roman" w:hAnsi="Times New Roman" w:cs="Times New Roman"/>
          <w:iCs/>
          <w:sz w:val="24"/>
          <w:szCs w:val="24"/>
        </w:rPr>
        <w:t>PS</w:t>
      </w:r>
      <w:r w:rsidR="00EF05B1">
        <w:rPr>
          <w:rFonts w:ascii="Times New Roman" w:hAnsi="Times New Roman" w:cs="Times New Roman"/>
          <w:sz w:val="24"/>
          <w:szCs w:val="24"/>
        </w:rPr>
        <w:t>)</w:t>
      </w:r>
      <w:r w:rsidR="00F03378">
        <w:rPr>
          <w:rFonts w:ascii="Times New Roman" w:hAnsi="Times New Roman" w:cs="Times New Roman"/>
          <w:sz w:val="24"/>
          <w:szCs w:val="24"/>
        </w:rPr>
        <w:t xml:space="preserve"> were used to identify the impact on </w:t>
      </w:r>
      <w:r w:rsidR="00402854">
        <w:rPr>
          <w:rFonts w:ascii="Times New Roman" w:hAnsi="Times New Roman" w:cs="Times New Roman"/>
          <w:sz w:val="24"/>
          <w:szCs w:val="24"/>
        </w:rPr>
        <w:t xml:space="preserve">the </w:t>
      </w:r>
      <w:r w:rsidR="00F03378">
        <w:rPr>
          <w:rFonts w:ascii="Times New Roman" w:hAnsi="Times New Roman" w:cs="Times New Roman"/>
          <w:sz w:val="24"/>
          <w:szCs w:val="24"/>
        </w:rPr>
        <w:t xml:space="preserve">enrollment decision. </w:t>
      </w:r>
      <w:r w:rsidR="00F03378" w:rsidRPr="00C36928">
        <w:rPr>
          <w:rFonts w:ascii="Times New Roman" w:hAnsi="Times New Roman" w:cs="Times New Roman"/>
          <w:sz w:val="24"/>
          <w:szCs w:val="24"/>
        </w:rPr>
        <w:t xml:space="preserve">The logistic regression model was significant </w:t>
      </w:r>
      <w:r w:rsidR="003F32D8" w:rsidRPr="00BA4A2D">
        <w:rPr>
          <w:rFonts w:ascii="Times New Roman" w:hAnsi="Times New Roman" w:cs="Times New Roman"/>
          <w:iCs/>
          <w:sz w:val="24"/>
          <w:szCs w:val="24"/>
        </w:rPr>
        <w:t>χ</w:t>
      </w:r>
      <w:r w:rsidR="00F03378" w:rsidRPr="00BA4A2D">
        <w:rPr>
          <w:rFonts w:ascii="Times New Roman" w:hAnsi="Times New Roman" w:cs="Times New Roman"/>
          <w:iCs/>
          <w:sz w:val="24"/>
          <w:szCs w:val="24"/>
          <w:vertAlign w:val="superscript"/>
        </w:rPr>
        <w:t>2</w:t>
      </w:r>
      <w:r w:rsidR="00F03378" w:rsidRPr="003F32D8">
        <w:rPr>
          <w:rFonts w:ascii="Times New Roman" w:hAnsi="Times New Roman" w:cs="Times New Roman"/>
          <w:iCs/>
          <w:sz w:val="24"/>
          <w:szCs w:val="24"/>
        </w:rPr>
        <w:t>(</w:t>
      </w:r>
      <w:r w:rsidR="00F03378" w:rsidRPr="00AE6605">
        <w:rPr>
          <w:rFonts w:ascii="Times New Roman" w:hAnsi="Times New Roman" w:cs="Times New Roman"/>
          <w:iCs/>
          <w:sz w:val="24"/>
          <w:szCs w:val="24"/>
        </w:rPr>
        <w:t>7)</w:t>
      </w:r>
      <w:r w:rsidR="00F03378" w:rsidRPr="003C6FB0">
        <w:rPr>
          <w:rFonts w:ascii="Times New Roman" w:hAnsi="Times New Roman" w:cs="Times New Roman"/>
          <w:iCs/>
          <w:sz w:val="24"/>
          <w:szCs w:val="24"/>
        </w:rPr>
        <w:t xml:space="preserve"> </w:t>
      </w:r>
      <w:r w:rsidR="00F03378" w:rsidRPr="00AE6605">
        <w:rPr>
          <w:rFonts w:ascii="Times New Roman" w:hAnsi="Times New Roman" w:cs="Times New Roman"/>
          <w:iCs/>
          <w:sz w:val="24"/>
          <w:szCs w:val="24"/>
        </w:rPr>
        <w:t>= 41.470,</w:t>
      </w:r>
      <w:r w:rsidR="00F03378" w:rsidRPr="00C36928">
        <w:rPr>
          <w:rFonts w:ascii="Times New Roman" w:hAnsi="Times New Roman" w:cs="Times New Roman"/>
          <w:i/>
          <w:sz w:val="24"/>
          <w:szCs w:val="24"/>
        </w:rPr>
        <w:t xml:space="preserve"> p </w:t>
      </w:r>
      <w:r w:rsidR="00F03378" w:rsidRPr="004F2C7F">
        <w:rPr>
          <w:rFonts w:ascii="Times New Roman" w:hAnsi="Times New Roman" w:cs="Times New Roman"/>
          <w:iCs/>
          <w:sz w:val="24"/>
          <w:szCs w:val="24"/>
        </w:rPr>
        <w:t>&lt; .001</w:t>
      </w:r>
      <w:r w:rsidR="00D81CE0">
        <w:rPr>
          <w:rFonts w:ascii="Times New Roman" w:hAnsi="Times New Roman" w:cs="Times New Roman"/>
          <w:sz w:val="24"/>
          <w:szCs w:val="24"/>
        </w:rPr>
        <w:t xml:space="preserve"> (</w:t>
      </w:r>
      <w:r w:rsidR="00A113D5">
        <w:rPr>
          <w:rFonts w:ascii="Times New Roman" w:hAnsi="Times New Roman" w:cs="Times New Roman"/>
          <w:sz w:val="24"/>
          <w:szCs w:val="24"/>
        </w:rPr>
        <w:t>Table E1, Appendix E</w:t>
      </w:r>
      <w:r w:rsidR="00D81CE0">
        <w:rPr>
          <w:rFonts w:ascii="Times New Roman" w:hAnsi="Times New Roman" w:cs="Times New Roman"/>
          <w:sz w:val="24"/>
          <w:szCs w:val="24"/>
        </w:rPr>
        <w:t>)</w:t>
      </w:r>
      <w:r w:rsidR="00F03378">
        <w:rPr>
          <w:rFonts w:ascii="Times New Roman" w:hAnsi="Times New Roman" w:cs="Times New Roman"/>
          <w:sz w:val="24"/>
          <w:szCs w:val="24"/>
        </w:rPr>
        <w:t>. The model explained 42.2% of the difference in enrollment decision</w:t>
      </w:r>
      <w:r w:rsidR="00D81CE0">
        <w:rPr>
          <w:rFonts w:ascii="Times New Roman" w:hAnsi="Times New Roman" w:cs="Times New Roman"/>
          <w:sz w:val="24"/>
          <w:szCs w:val="24"/>
        </w:rPr>
        <w:t xml:space="preserve"> </w:t>
      </w:r>
      <w:r w:rsidR="00F03378">
        <w:rPr>
          <w:rFonts w:ascii="Times New Roman" w:hAnsi="Times New Roman" w:cs="Times New Roman"/>
          <w:sz w:val="24"/>
          <w:szCs w:val="24"/>
        </w:rPr>
        <w:t>and correctly classified 79.2% of cases</w:t>
      </w:r>
      <w:r w:rsidR="00EB2B4A">
        <w:rPr>
          <w:rFonts w:ascii="Times New Roman" w:hAnsi="Times New Roman" w:cs="Times New Roman"/>
          <w:sz w:val="24"/>
          <w:szCs w:val="24"/>
        </w:rPr>
        <w:t xml:space="preserve"> (</w:t>
      </w:r>
      <w:r w:rsidR="00A113D5">
        <w:rPr>
          <w:rFonts w:ascii="Times New Roman" w:hAnsi="Times New Roman" w:cs="Times New Roman"/>
          <w:sz w:val="24"/>
          <w:szCs w:val="24"/>
        </w:rPr>
        <w:t xml:space="preserve">Tables E2 and E3, </w:t>
      </w:r>
      <w:r w:rsidR="00A14B0B">
        <w:rPr>
          <w:rFonts w:ascii="Times New Roman" w:hAnsi="Times New Roman" w:cs="Times New Roman"/>
          <w:sz w:val="24"/>
          <w:szCs w:val="24"/>
        </w:rPr>
        <w:t>Appendix E</w:t>
      </w:r>
      <w:r w:rsidR="00EB2B4A">
        <w:rPr>
          <w:rFonts w:ascii="Times New Roman" w:hAnsi="Times New Roman" w:cs="Times New Roman"/>
          <w:sz w:val="24"/>
          <w:szCs w:val="24"/>
        </w:rPr>
        <w:t>)</w:t>
      </w:r>
      <w:r w:rsidR="00F03378">
        <w:rPr>
          <w:rFonts w:ascii="Times New Roman" w:hAnsi="Times New Roman" w:cs="Times New Roman"/>
          <w:sz w:val="24"/>
          <w:szCs w:val="24"/>
        </w:rPr>
        <w:t xml:space="preserve">. </w:t>
      </w:r>
      <w:r w:rsidR="006E3288">
        <w:rPr>
          <w:rFonts w:ascii="Times New Roman" w:hAnsi="Times New Roman" w:cs="Times New Roman"/>
          <w:sz w:val="24"/>
          <w:szCs w:val="24"/>
        </w:rPr>
        <w:t xml:space="preserve">Of the </w:t>
      </w:r>
      <w:r w:rsidR="00A561FD">
        <w:rPr>
          <w:rFonts w:ascii="Times New Roman" w:hAnsi="Times New Roman" w:cs="Times New Roman"/>
          <w:sz w:val="24"/>
          <w:szCs w:val="24"/>
        </w:rPr>
        <w:t>four</w:t>
      </w:r>
      <w:r w:rsidR="00B05DB1">
        <w:rPr>
          <w:rFonts w:ascii="Times New Roman" w:hAnsi="Times New Roman" w:cs="Times New Roman"/>
          <w:sz w:val="24"/>
          <w:szCs w:val="24"/>
        </w:rPr>
        <w:t xml:space="preserve"> factors of self-efficacy</w:t>
      </w:r>
      <w:r w:rsidR="006E3288">
        <w:rPr>
          <w:rFonts w:ascii="Times New Roman" w:hAnsi="Times New Roman" w:cs="Times New Roman"/>
          <w:sz w:val="24"/>
          <w:szCs w:val="24"/>
        </w:rPr>
        <w:t xml:space="preserve">, only mastery experience was significant </w:t>
      </w:r>
      <w:r w:rsidR="006E3288">
        <w:rPr>
          <w:rFonts w:ascii="Times New Roman" w:hAnsi="Times New Roman" w:cs="Times New Roman"/>
          <w:i/>
          <w:sz w:val="24"/>
          <w:szCs w:val="24"/>
        </w:rPr>
        <w:t xml:space="preserve">(p </w:t>
      </w:r>
      <w:r w:rsidR="006E3288" w:rsidRPr="004F2C7F">
        <w:rPr>
          <w:rFonts w:ascii="Times New Roman" w:hAnsi="Times New Roman" w:cs="Times New Roman"/>
          <w:iCs/>
          <w:sz w:val="24"/>
          <w:szCs w:val="24"/>
        </w:rPr>
        <w:t>= .023</w:t>
      </w:r>
      <w:r w:rsidR="006E3288">
        <w:rPr>
          <w:rFonts w:ascii="Times New Roman" w:hAnsi="Times New Roman" w:cs="Times New Roman"/>
          <w:i/>
          <w:sz w:val="24"/>
          <w:szCs w:val="24"/>
        </w:rPr>
        <w:t>)</w:t>
      </w:r>
      <w:r w:rsidR="006E3288">
        <w:rPr>
          <w:rFonts w:ascii="Times New Roman" w:hAnsi="Times New Roman" w:cs="Times New Roman"/>
          <w:sz w:val="24"/>
          <w:szCs w:val="24"/>
        </w:rPr>
        <w:t xml:space="preserve"> in predicting </w:t>
      </w:r>
      <w:r w:rsidR="00EA0244">
        <w:rPr>
          <w:rFonts w:ascii="Times New Roman" w:hAnsi="Times New Roman" w:cs="Times New Roman"/>
          <w:sz w:val="24"/>
          <w:szCs w:val="24"/>
        </w:rPr>
        <w:t xml:space="preserve">advanced </w:t>
      </w:r>
      <w:r w:rsidR="006E3288">
        <w:rPr>
          <w:rFonts w:ascii="Times New Roman" w:hAnsi="Times New Roman" w:cs="Times New Roman"/>
          <w:sz w:val="24"/>
          <w:szCs w:val="24"/>
        </w:rPr>
        <w:t>high school physics enrollment</w:t>
      </w:r>
      <w:r w:rsidR="009B44C0">
        <w:rPr>
          <w:rFonts w:ascii="Times New Roman" w:hAnsi="Times New Roman" w:cs="Times New Roman"/>
          <w:sz w:val="24"/>
          <w:szCs w:val="24"/>
        </w:rPr>
        <w:t xml:space="preserve"> (Table 6)</w:t>
      </w:r>
      <w:r w:rsidR="006E3288">
        <w:rPr>
          <w:rFonts w:ascii="Times New Roman" w:hAnsi="Times New Roman" w:cs="Times New Roman"/>
          <w:sz w:val="24"/>
          <w:szCs w:val="24"/>
        </w:rPr>
        <w:t xml:space="preserve">. </w:t>
      </w:r>
    </w:p>
    <w:p w14:paraId="1005831F" w14:textId="59ECC7DC" w:rsidR="009B44C0" w:rsidRPr="004F2C7F" w:rsidRDefault="009B44C0" w:rsidP="00BA4A2D">
      <w:pPr>
        <w:widowControl w:val="0"/>
        <w:spacing w:after="0" w:line="480" w:lineRule="auto"/>
        <w:rPr>
          <w:rFonts w:ascii="Times New Roman" w:hAnsi="Times New Roman" w:cs="Times New Roman"/>
          <w:b/>
          <w:bCs/>
          <w:sz w:val="24"/>
          <w:szCs w:val="24"/>
        </w:rPr>
      </w:pPr>
      <w:r w:rsidRPr="004F2C7F">
        <w:rPr>
          <w:rFonts w:ascii="Times New Roman" w:hAnsi="Times New Roman" w:cs="Times New Roman"/>
          <w:b/>
          <w:bCs/>
          <w:sz w:val="24"/>
          <w:szCs w:val="24"/>
        </w:rPr>
        <w:t>Table 6</w:t>
      </w:r>
    </w:p>
    <w:p w14:paraId="3E83FB34" w14:textId="79D48DA8" w:rsidR="009B44C0" w:rsidRPr="00EB2B4A" w:rsidRDefault="00A10EB5" w:rsidP="00BA4A2D">
      <w:pPr>
        <w:widowControl w:val="0"/>
        <w:spacing w:after="0" w:line="480" w:lineRule="auto"/>
        <w:rPr>
          <w:rFonts w:ascii="Times New Roman" w:hAnsi="Times New Roman" w:cs="Times New Roman"/>
          <w:i/>
          <w:sz w:val="24"/>
          <w:szCs w:val="24"/>
        </w:rPr>
      </w:pPr>
      <w:r>
        <w:rPr>
          <w:rFonts w:ascii="Times New Roman" w:hAnsi="Times New Roman" w:cs="Times New Roman"/>
          <w:i/>
          <w:sz w:val="24"/>
          <w:szCs w:val="24"/>
        </w:rPr>
        <w:t>Coefficients</w:t>
      </w:r>
      <w:r w:rsidR="00956952">
        <w:rPr>
          <w:rFonts w:ascii="Times New Roman" w:hAnsi="Times New Roman" w:cs="Times New Roman"/>
          <w:i/>
          <w:sz w:val="24"/>
          <w:szCs w:val="24"/>
        </w:rPr>
        <w:t xml:space="preserve"> and Significance of </w:t>
      </w:r>
      <w:r w:rsidR="00A561FD">
        <w:rPr>
          <w:rFonts w:ascii="Times New Roman" w:hAnsi="Times New Roman" w:cs="Times New Roman"/>
          <w:i/>
          <w:sz w:val="24"/>
          <w:szCs w:val="24"/>
        </w:rPr>
        <w:t xml:space="preserve">Controls and </w:t>
      </w:r>
      <w:r w:rsidR="00956952">
        <w:rPr>
          <w:rFonts w:ascii="Times New Roman" w:hAnsi="Times New Roman" w:cs="Times New Roman"/>
          <w:i/>
          <w:sz w:val="24"/>
          <w:szCs w:val="24"/>
        </w:rPr>
        <w:t xml:space="preserve">Predictors in </w:t>
      </w:r>
      <w:r w:rsidR="008159B8">
        <w:rPr>
          <w:rFonts w:ascii="Times New Roman" w:hAnsi="Times New Roman" w:cs="Times New Roman"/>
          <w:i/>
          <w:sz w:val="24"/>
          <w:szCs w:val="24"/>
        </w:rPr>
        <w:t xml:space="preserve">Second-year </w:t>
      </w:r>
      <w:r w:rsidR="00FE1D16">
        <w:rPr>
          <w:rFonts w:ascii="Times New Roman" w:hAnsi="Times New Roman" w:cs="Times New Roman"/>
          <w:i/>
          <w:sz w:val="24"/>
          <w:szCs w:val="24"/>
        </w:rPr>
        <w:t>P</w:t>
      </w:r>
      <w:r w:rsidR="008159B8">
        <w:rPr>
          <w:rFonts w:ascii="Times New Roman" w:hAnsi="Times New Roman" w:cs="Times New Roman"/>
          <w:i/>
          <w:sz w:val="24"/>
          <w:szCs w:val="24"/>
        </w:rPr>
        <w:t>hysics</w:t>
      </w:r>
      <w:r w:rsidR="00956952">
        <w:rPr>
          <w:rFonts w:ascii="Times New Roman" w:hAnsi="Times New Roman" w:cs="Times New Roman"/>
          <w:i/>
          <w:sz w:val="24"/>
          <w:szCs w:val="24"/>
        </w:rPr>
        <w:t xml:space="preserve"> Enrollment</w:t>
      </w:r>
      <w:r w:rsidR="006B1023">
        <w:rPr>
          <w:rFonts w:ascii="Times New Roman" w:hAnsi="Times New Roman" w:cs="Times New Roman"/>
          <w:i/>
          <w:sz w:val="24"/>
          <w:szCs w:val="24"/>
        </w:rPr>
        <w:t xml:space="preserve"> for High School </w:t>
      </w:r>
      <w:r w:rsidR="004F2C7F">
        <w:rPr>
          <w:rFonts w:ascii="Times New Roman" w:hAnsi="Times New Roman" w:cs="Times New Roman"/>
          <w:i/>
          <w:sz w:val="24"/>
          <w:szCs w:val="24"/>
        </w:rPr>
        <w:t>Men and Women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
      <w:tblGrid>
        <w:gridCol w:w="1370"/>
        <w:gridCol w:w="1401"/>
        <w:gridCol w:w="1765"/>
        <w:gridCol w:w="1350"/>
        <w:gridCol w:w="1158"/>
        <w:gridCol w:w="1158"/>
        <w:gridCol w:w="1158"/>
      </w:tblGrid>
      <w:tr w:rsidR="009B44C0" w:rsidRPr="003E061F" w14:paraId="5C86595B" w14:textId="77777777" w:rsidTr="00BA4A2D">
        <w:trPr>
          <w:trHeight w:hRule="exact" w:val="297"/>
        </w:trPr>
        <w:tc>
          <w:tcPr>
            <w:tcW w:w="1370" w:type="dxa"/>
            <w:tcBorders>
              <w:top w:val="single" w:sz="4" w:space="0" w:color="auto"/>
              <w:bottom w:val="single" w:sz="4" w:space="0" w:color="auto"/>
            </w:tcBorders>
          </w:tcPr>
          <w:p w14:paraId="6848C38B" w14:textId="77777777" w:rsidR="009B44C0" w:rsidRPr="00BA4A2D" w:rsidRDefault="009B44C0" w:rsidP="00BA4A2D">
            <w:pPr>
              <w:widowControl w:val="0"/>
              <w:spacing w:after="0" w:line="240" w:lineRule="auto"/>
              <w:jc w:val="center"/>
              <w:rPr>
                <w:i/>
                <w:iCs/>
              </w:rPr>
            </w:pPr>
            <w:r w:rsidRPr="00BA4A2D">
              <w:rPr>
                <w:i/>
                <w:iCs/>
              </w:rPr>
              <w:t>Variables</w:t>
            </w:r>
          </w:p>
        </w:tc>
        <w:tc>
          <w:tcPr>
            <w:tcW w:w="1401" w:type="dxa"/>
            <w:tcBorders>
              <w:top w:val="single" w:sz="4" w:space="0" w:color="auto"/>
              <w:bottom w:val="single" w:sz="4" w:space="0" w:color="auto"/>
            </w:tcBorders>
          </w:tcPr>
          <w:p w14:paraId="4A829A8A" w14:textId="77777777" w:rsidR="009B44C0" w:rsidRPr="00AF5110" w:rsidRDefault="009B44C0" w:rsidP="00BA4A2D">
            <w:pPr>
              <w:widowControl w:val="0"/>
              <w:spacing w:after="0" w:line="240" w:lineRule="auto"/>
              <w:jc w:val="center"/>
              <w:rPr>
                <w:i/>
                <w:iCs/>
              </w:rPr>
            </w:pPr>
            <w:r w:rsidRPr="00AF5110">
              <w:rPr>
                <w:i/>
                <w:iCs/>
              </w:rPr>
              <w:t>B</w:t>
            </w:r>
          </w:p>
        </w:tc>
        <w:tc>
          <w:tcPr>
            <w:tcW w:w="1765" w:type="dxa"/>
            <w:tcBorders>
              <w:top w:val="single" w:sz="4" w:space="0" w:color="auto"/>
              <w:bottom w:val="single" w:sz="4" w:space="0" w:color="auto"/>
            </w:tcBorders>
          </w:tcPr>
          <w:p w14:paraId="0F6F8151" w14:textId="77777777" w:rsidR="009B44C0" w:rsidRPr="00BA4A2D" w:rsidRDefault="009B44C0" w:rsidP="00BA4A2D">
            <w:pPr>
              <w:widowControl w:val="0"/>
              <w:spacing w:after="0" w:line="240" w:lineRule="auto"/>
              <w:jc w:val="center"/>
              <w:rPr>
                <w:i/>
                <w:iCs/>
              </w:rPr>
            </w:pPr>
            <w:r w:rsidRPr="00BA4A2D">
              <w:rPr>
                <w:i/>
                <w:iCs/>
              </w:rPr>
              <w:t>S.E.</w:t>
            </w:r>
          </w:p>
        </w:tc>
        <w:tc>
          <w:tcPr>
            <w:tcW w:w="1350" w:type="dxa"/>
            <w:tcBorders>
              <w:top w:val="single" w:sz="4" w:space="0" w:color="auto"/>
              <w:bottom w:val="single" w:sz="4" w:space="0" w:color="auto"/>
            </w:tcBorders>
          </w:tcPr>
          <w:p w14:paraId="43C0CA74" w14:textId="77777777" w:rsidR="009B44C0" w:rsidRPr="00BA4A2D" w:rsidRDefault="009B44C0" w:rsidP="00BA4A2D">
            <w:pPr>
              <w:widowControl w:val="0"/>
              <w:spacing w:after="0" w:line="240" w:lineRule="auto"/>
              <w:jc w:val="center"/>
              <w:rPr>
                <w:i/>
                <w:iCs/>
              </w:rPr>
            </w:pPr>
            <w:r w:rsidRPr="00BA4A2D">
              <w:rPr>
                <w:i/>
                <w:iCs/>
              </w:rPr>
              <w:t>Wald</w:t>
            </w:r>
          </w:p>
        </w:tc>
        <w:tc>
          <w:tcPr>
            <w:tcW w:w="1158" w:type="dxa"/>
            <w:tcBorders>
              <w:top w:val="single" w:sz="4" w:space="0" w:color="auto"/>
              <w:bottom w:val="single" w:sz="4" w:space="0" w:color="auto"/>
            </w:tcBorders>
          </w:tcPr>
          <w:p w14:paraId="5623AFA9" w14:textId="77777777" w:rsidR="009B44C0" w:rsidRPr="00BA4A2D" w:rsidRDefault="009B44C0" w:rsidP="00BA4A2D">
            <w:pPr>
              <w:widowControl w:val="0"/>
              <w:spacing w:after="0" w:line="240" w:lineRule="auto"/>
              <w:jc w:val="center"/>
              <w:rPr>
                <w:i/>
                <w:iCs/>
              </w:rPr>
            </w:pPr>
            <w:r w:rsidRPr="00BA4A2D">
              <w:rPr>
                <w:i/>
                <w:iCs/>
              </w:rPr>
              <w:t>df</w:t>
            </w:r>
          </w:p>
        </w:tc>
        <w:tc>
          <w:tcPr>
            <w:tcW w:w="1158" w:type="dxa"/>
            <w:tcBorders>
              <w:top w:val="single" w:sz="4" w:space="0" w:color="auto"/>
              <w:bottom w:val="single" w:sz="4" w:space="0" w:color="auto"/>
            </w:tcBorders>
          </w:tcPr>
          <w:p w14:paraId="3216D956" w14:textId="77777777" w:rsidR="009B44C0" w:rsidRPr="00BA4A2D" w:rsidRDefault="009B44C0" w:rsidP="00BA4A2D">
            <w:pPr>
              <w:widowControl w:val="0"/>
              <w:spacing w:after="0" w:line="240" w:lineRule="auto"/>
              <w:jc w:val="center"/>
              <w:rPr>
                <w:i/>
                <w:iCs/>
              </w:rPr>
            </w:pPr>
            <w:r w:rsidRPr="00BA4A2D">
              <w:rPr>
                <w:i/>
                <w:iCs/>
              </w:rPr>
              <w:t>Sig.</w:t>
            </w:r>
          </w:p>
        </w:tc>
        <w:tc>
          <w:tcPr>
            <w:tcW w:w="1158" w:type="dxa"/>
            <w:tcBorders>
              <w:top w:val="single" w:sz="4" w:space="0" w:color="auto"/>
              <w:bottom w:val="single" w:sz="4" w:space="0" w:color="auto"/>
            </w:tcBorders>
          </w:tcPr>
          <w:p w14:paraId="319C8425" w14:textId="77777777" w:rsidR="009B44C0" w:rsidRPr="00BA4A2D" w:rsidRDefault="009B44C0" w:rsidP="00BA4A2D">
            <w:pPr>
              <w:widowControl w:val="0"/>
              <w:spacing w:after="0" w:line="240" w:lineRule="auto"/>
              <w:jc w:val="center"/>
              <w:rPr>
                <w:i/>
                <w:iCs/>
              </w:rPr>
            </w:pPr>
            <w:r w:rsidRPr="00BA4A2D">
              <w:rPr>
                <w:i/>
                <w:iCs/>
              </w:rPr>
              <w:t>Exp(</w:t>
            </w:r>
            <w:r w:rsidRPr="00AF5110">
              <w:rPr>
                <w:i/>
                <w:iCs/>
              </w:rPr>
              <w:t>B</w:t>
            </w:r>
            <w:r w:rsidRPr="00BA4A2D">
              <w:rPr>
                <w:i/>
                <w:iCs/>
              </w:rPr>
              <w:t>)</w:t>
            </w:r>
          </w:p>
        </w:tc>
      </w:tr>
      <w:tr w:rsidR="009B44C0" w14:paraId="5448503E" w14:textId="77777777" w:rsidTr="00BA4A2D">
        <w:trPr>
          <w:trHeight w:hRule="exact" w:val="289"/>
        </w:trPr>
        <w:tc>
          <w:tcPr>
            <w:tcW w:w="1370" w:type="dxa"/>
            <w:tcBorders>
              <w:top w:val="single" w:sz="4" w:space="0" w:color="auto"/>
            </w:tcBorders>
          </w:tcPr>
          <w:p w14:paraId="291ED0B3" w14:textId="21778334" w:rsidR="009B44C0" w:rsidRPr="004F2C7F" w:rsidRDefault="009B44C0" w:rsidP="00BA4A2D">
            <w:pPr>
              <w:widowControl w:val="0"/>
              <w:spacing w:after="0" w:line="240" w:lineRule="auto"/>
              <w:rPr>
                <w:iCs/>
                <w:vertAlign w:val="superscript"/>
              </w:rPr>
            </w:pPr>
            <w:r w:rsidRPr="004F2C7F">
              <w:rPr>
                <w:iCs/>
              </w:rPr>
              <w:t>S1G</w:t>
            </w:r>
          </w:p>
        </w:tc>
        <w:tc>
          <w:tcPr>
            <w:tcW w:w="1401" w:type="dxa"/>
            <w:tcBorders>
              <w:top w:val="single" w:sz="4" w:space="0" w:color="auto"/>
            </w:tcBorders>
          </w:tcPr>
          <w:p w14:paraId="1E39384C" w14:textId="77777777" w:rsidR="009B44C0" w:rsidRDefault="009B44C0" w:rsidP="00BA4A2D">
            <w:pPr>
              <w:widowControl w:val="0"/>
              <w:spacing w:after="0" w:line="240" w:lineRule="auto"/>
              <w:jc w:val="right"/>
            </w:pPr>
            <w:r>
              <w:t>-.033</w:t>
            </w:r>
          </w:p>
        </w:tc>
        <w:tc>
          <w:tcPr>
            <w:tcW w:w="1765" w:type="dxa"/>
            <w:tcBorders>
              <w:top w:val="single" w:sz="4" w:space="0" w:color="auto"/>
            </w:tcBorders>
          </w:tcPr>
          <w:p w14:paraId="14318A36" w14:textId="77777777" w:rsidR="009B44C0" w:rsidRDefault="009B44C0" w:rsidP="00BA4A2D">
            <w:pPr>
              <w:widowControl w:val="0"/>
              <w:spacing w:after="0" w:line="240" w:lineRule="auto"/>
              <w:jc w:val="right"/>
            </w:pPr>
            <w:r>
              <w:t>.173</w:t>
            </w:r>
          </w:p>
        </w:tc>
        <w:tc>
          <w:tcPr>
            <w:tcW w:w="1350" w:type="dxa"/>
            <w:tcBorders>
              <w:top w:val="single" w:sz="4" w:space="0" w:color="auto"/>
            </w:tcBorders>
          </w:tcPr>
          <w:p w14:paraId="4B9001D9" w14:textId="77777777" w:rsidR="009B44C0" w:rsidRDefault="009B44C0" w:rsidP="00BA4A2D">
            <w:pPr>
              <w:widowControl w:val="0"/>
              <w:spacing w:after="0" w:line="240" w:lineRule="auto"/>
              <w:jc w:val="right"/>
            </w:pPr>
            <w:r>
              <w:t>.037</w:t>
            </w:r>
          </w:p>
        </w:tc>
        <w:tc>
          <w:tcPr>
            <w:tcW w:w="1158" w:type="dxa"/>
            <w:tcBorders>
              <w:top w:val="single" w:sz="4" w:space="0" w:color="auto"/>
            </w:tcBorders>
          </w:tcPr>
          <w:p w14:paraId="6EA3BF91" w14:textId="77777777" w:rsidR="009B44C0" w:rsidRDefault="009B44C0" w:rsidP="00BA4A2D">
            <w:pPr>
              <w:widowControl w:val="0"/>
              <w:spacing w:after="0" w:line="240" w:lineRule="auto"/>
              <w:jc w:val="right"/>
            </w:pPr>
            <w:r>
              <w:t>1</w:t>
            </w:r>
          </w:p>
        </w:tc>
        <w:tc>
          <w:tcPr>
            <w:tcW w:w="1158" w:type="dxa"/>
            <w:tcBorders>
              <w:top w:val="single" w:sz="4" w:space="0" w:color="auto"/>
            </w:tcBorders>
          </w:tcPr>
          <w:p w14:paraId="1AF9006F" w14:textId="77777777" w:rsidR="009B44C0" w:rsidRDefault="009B44C0" w:rsidP="00BA4A2D">
            <w:pPr>
              <w:widowControl w:val="0"/>
              <w:spacing w:after="0" w:line="240" w:lineRule="auto"/>
              <w:jc w:val="right"/>
            </w:pPr>
            <w:r>
              <w:t>.848</w:t>
            </w:r>
          </w:p>
        </w:tc>
        <w:tc>
          <w:tcPr>
            <w:tcW w:w="1158" w:type="dxa"/>
            <w:tcBorders>
              <w:top w:val="single" w:sz="4" w:space="0" w:color="auto"/>
            </w:tcBorders>
          </w:tcPr>
          <w:p w14:paraId="5D926562" w14:textId="77777777" w:rsidR="009B44C0" w:rsidRDefault="009B44C0" w:rsidP="00BA4A2D">
            <w:pPr>
              <w:widowControl w:val="0"/>
              <w:spacing w:after="0" w:line="240" w:lineRule="auto"/>
              <w:jc w:val="right"/>
            </w:pPr>
            <w:r>
              <w:t>.967</w:t>
            </w:r>
          </w:p>
        </w:tc>
      </w:tr>
      <w:tr w:rsidR="009B44C0" w14:paraId="1949EC08" w14:textId="77777777" w:rsidTr="00BA4A2D">
        <w:trPr>
          <w:trHeight w:hRule="exact" w:val="261"/>
        </w:trPr>
        <w:tc>
          <w:tcPr>
            <w:tcW w:w="1370" w:type="dxa"/>
          </w:tcPr>
          <w:p w14:paraId="753B4D16" w14:textId="78A7FDEA" w:rsidR="009B44C0" w:rsidRPr="004F2C7F" w:rsidRDefault="009B44C0" w:rsidP="00BA4A2D">
            <w:pPr>
              <w:widowControl w:val="0"/>
              <w:spacing w:after="0" w:line="240" w:lineRule="auto"/>
              <w:rPr>
                <w:iCs/>
                <w:vertAlign w:val="superscript"/>
              </w:rPr>
            </w:pPr>
            <w:r w:rsidRPr="004F2C7F">
              <w:rPr>
                <w:iCs/>
              </w:rPr>
              <w:t>PKG</w:t>
            </w:r>
          </w:p>
        </w:tc>
        <w:tc>
          <w:tcPr>
            <w:tcW w:w="1401" w:type="dxa"/>
          </w:tcPr>
          <w:p w14:paraId="7F093AC7" w14:textId="77777777" w:rsidR="009B44C0" w:rsidRDefault="009B44C0" w:rsidP="00BA4A2D">
            <w:pPr>
              <w:widowControl w:val="0"/>
              <w:spacing w:after="0" w:line="240" w:lineRule="auto"/>
              <w:jc w:val="right"/>
            </w:pPr>
            <w:r>
              <w:t>-.070</w:t>
            </w:r>
          </w:p>
        </w:tc>
        <w:tc>
          <w:tcPr>
            <w:tcW w:w="1765" w:type="dxa"/>
          </w:tcPr>
          <w:p w14:paraId="2020D2D1" w14:textId="77777777" w:rsidR="009B44C0" w:rsidRDefault="009B44C0" w:rsidP="00BA4A2D">
            <w:pPr>
              <w:widowControl w:val="0"/>
              <w:spacing w:after="0" w:line="240" w:lineRule="auto"/>
              <w:jc w:val="right"/>
            </w:pPr>
            <w:r>
              <w:t>.069</w:t>
            </w:r>
          </w:p>
        </w:tc>
        <w:tc>
          <w:tcPr>
            <w:tcW w:w="1350" w:type="dxa"/>
          </w:tcPr>
          <w:p w14:paraId="26444C68" w14:textId="77777777" w:rsidR="009B44C0" w:rsidRDefault="009B44C0" w:rsidP="00BA4A2D">
            <w:pPr>
              <w:widowControl w:val="0"/>
              <w:spacing w:after="0" w:line="240" w:lineRule="auto"/>
              <w:jc w:val="right"/>
            </w:pPr>
            <w:r>
              <w:t>1.032</w:t>
            </w:r>
          </w:p>
        </w:tc>
        <w:tc>
          <w:tcPr>
            <w:tcW w:w="1158" w:type="dxa"/>
          </w:tcPr>
          <w:p w14:paraId="2533F944" w14:textId="77777777" w:rsidR="009B44C0" w:rsidRDefault="009B44C0" w:rsidP="00BA4A2D">
            <w:pPr>
              <w:widowControl w:val="0"/>
              <w:spacing w:after="0" w:line="240" w:lineRule="auto"/>
              <w:jc w:val="right"/>
            </w:pPr>
            <w:r>
              <w:t>1</w:t>
            </w:r>
          </w:p>
        </w:tc>
        <w:tc>
          <w:tcPr>
            <w:tcW w:w="1158" w:type="dxa"/>
          </w:tcPr>
          <w:p w14:paraId="55EE641E" w14:textId="77777777" w:rsidR="009B44C0" w:rsidRDefault="009B44C0" w:rsidP="00BA4A2D">
            <w:pPr>
              <w:widowControl w:val="0"/>
              <w:spacing w:after="0" w:line="240" w:lineRule="auto"/>
              <w:jc w:val="right"/>
            </w:pPr>
            <w:r>
              <w:t>.310</w:t>
            </w:r>
          </w:p>
        </w:tc>
        <w:tc>
          <w:tcPr>
            <w:tcW w:w="1158" w:type="dxa"/>
          </w:tcPr>
          <w:p w14:paraId="3583B881" w14:textId="77777777" w:rsidR="009B44C0" w:rsidRDefault="009B44C0" w:rsidP="00BA4A2D">
            <w:pPr>
              <w:widowControl w:val="0"/>
              <w:spacing w:after="0" w:line="240" w:lineRule="auto"/>
              <w:jc w:val="right"/>
            </w:pPr>
            <w:r>
              <w:t>.932</w:t>
            </w:r>
          </w:p>
        </w:tc>
      </w:tr>
      <w:tr w:rsidR="009B44C0" w14:paraId="0565881F" w14:textId="77777777" w:rsidTr="00BA4A2D">
        <w:trPr>
          <w:trHeight w:hRule="exact" w:val="279"/>
        </w:trPr>
        <w:tc>
          <w:tcPr>
            <w:tcW w:w="1370" w:type="dxa"/>
          </w:tcPr>
          <w:p w14:paraId="43F0A71A" w14:textId="23175585" w:rsidR="009B44C0" w:rsidRPr="004F2C7F" w:rsidRDefault="009B44C0" w:rsidP="00BA4A2D">
            <w:pPr>
              <w:widowControl w:val="0"/>
              <w:spacing w:after="0" w:line="240" w:lineRule="auto"/>
              <w:rPr>
                <w:iCs/>
                <w:vertAlign w:val="superscript"/>
              </w:rPr>
            </w:pPr>
            <w:r w:rsidRPr="004F2C7F">
              <w:rPr>
                <w:iCs/>
              </w:rPr>
              <w:t>Gender</w:t>
            </w:r>
          </w:p>
        </w:tc>
        <w:tc>
          <w:tcPr>
            <w:tcW w:w="1401" w:type="dxa"/>
          </w:tcPr>
          <w:p w14:paraId="02477321" w14:textId="77777777" w:rsidR="009B44C0" w:rsidRDefault="009B44C0" w:rsidP="00BA4A2D">
            <w:pPr>
              <w:widowControl w:val="0"/>
              <w:spacing w:after="0" w:line="240" w:lineRule="auto"/>
              <w:jc w:val="right"/>
            </w:pPr>
            <w:r>
              <w:t>.104</w:t>
            </w:r>
          </w:p>
        </w:tc>
        <w:tc>
          <w:tcPr>
            <w:tcW w:w="1765" w:type="dxa"/>
          </w:tcPr>
          <w:p w14:paraId="0A1874EF" w14:textId="77777777" w:rsidR="009B44C0" w:rsidRDefault="009B44C0" w:rsidP="00BA4A2D">
            <w:pPr>
              <w:widowControl w:val="0"/>
              <w:spacing w:after="0" w:line="240" w:lineRule="auto"/>
              <w:jc w:val="right"/>
            </w:pPr>
            <w:r>
              <w:t>.581</w:t>
            </w:r>
          </w:p>
        </w:tc>
        <w:tc>
          <w:tcPr>
            <w:tcW w:w="1350" w:type="dxa"/>
          </w:tcPr>
          <w:p w14:paraId="674AB44A" w14:textId="77777777" w:rsidR="009B44C0" w:rsidRDefault="009B44C0" w:rsidP="00BA4A2D">
            <w:pPr>
              <w:widowControl w:val="0"/>
              <w:spacing w:after="0" w:line="240" w:lineRule="auto"/>
              <w:jc w:val="right"/>
            </w:pPr>
            <w:r>
              <w:t>.032</w:t>
            </w:r>
          </w:p>
        </w:tc>
        <w:tc>
          <w:tcPr>
            <w:tcW w:w="1158" w:type="dxa"/>
          </w:tcPr>
          <w:p w14:paraId="37F365F2" w14:textId="77777777" w:rsidR="009B44C0" w:rsidRDefault="009B44C0" w:rsidP="00BA4A2D">
            <w:pPr>
              <w:widowControl w:val="0"/>
              <w:spacing w:after="0" w:line="240" w:lineRule="auto"/>
              <w:jc w:val="right"/>
            </w:pPr>
            <w:r>
              <w:t>1</w:t>
            </w:r>
          </w:p>
        </w:tc>
        <w:tc>
          <w:tcPr>
            <w:tcW w:w="1158" w:type="dxa"/>
          </w:tcPr>
          <w:p w14:paraId="0F9AD520" w14:textId="77777777" w:rsidR="009B44C0" w:rsidRDefault="009B44C0" w:rsidP="00BA4A2D">
            <w:pPr>
              <w:widowControl w:val="0"/>
              <w:spacing w:after="0" w:line="240" w:lineRule="auto"/>
              <w:jc w:val="right"/>
            </w:pPr>
            <w:r>
              <w:t>.858</w:t>
            </w:r>
          </w:p>
        </w:tc>
        <w:tc>
          <w:tcPr>
            <w:tcW w:w="1158" w:type="dxa"/>
          </w:tcPr>
          <w:p w14:paraId="41EEE8CB" w14:textId="77777777" w:rsidR="009B44C0" w:rsidRDefault="009B44C0" w:rsidP="00BA4A2D">
            <w:pPr>
              <w:widowControl w:val="0"/>
              <w:spacing w:after="0" w:line="240" w:lineRule="auto"/>
              <w:jc w:val="right"/>
            </w:pPr>
            <w:r>
              <w:t>1.109</w:t>
            </w:r>
          </w:p>
        </w:tc>
      </w:tr>
      <w:tr w:rsidR="009B44C0" w14:paraId="7307D884" w14:textId="77777777" w:rsidTr="00BA4A2D">
        <w:trPr>
          <w:trHeight w:hRule="exact" w:val="252"/>
        </w:trPr>
        <w:tc>
          <w:tcPr>
            <w:tcW w:w="1370" w:type="dxa"/>
          </w:tcPr>
          <w:p w14:paraId="2323AE9B" w14:textId="7C82A4A2" w:rsidR="009B44C0" w:rsidRPr="004F2C7F" w:rsidRDefault="009B44C0" w:rsidP="00BA4A2D">
            <w:pPr>
              <w:widowControl w:val="0"/>
              <w:spacing w:after="0" w:line="240" w:lineRule="auto"/>
              <w:rPr>
                <w:iCs/>
                <w:vertAlign w:val="superscript"/>
              </w:rPr>
            </w:pPr>
            <w:r w:rsidRPr="004F2C7F">
              <w:rPr>
                <w:iCs/>
              </w:rPr>
              <w:t>ME</w:t>
            </w:r>
          </w:p>
        </w:tc>
        <w:tc>
          <w:tcPr>
            <w:tcW w:w="1401" w:type="dxa"/>
          </w:tcPr>
          <w:p w14:paraId="2AEE43A1" w14:textId="77777777" w:rsidR="009B44C0" w:rsidRDefault="009B44C0" w:rsidP="00BA4A2D">
            <w:pPr>
              <w:widowControl w:val="0"/>
              <w:spacing w:after="0" w:line="240" w:lineRule="auto"/>
              <w:jc w:val="right"/>
            </w:pPr>
            <w:r>
              <w:t>2.115</w:t>
            </w:r>
          </w:p>
        </w:tc>
        <w:tc>
          <w:tcPr>
            <w:tcW w:w="1765" w:type="dxa"/>
          </w:tcPr>
          <w:p w14:paraId="11A550BB" w14:textId="77777777" w:rsidR="009B44C0" w:rsidRDefault="009B44C0" w:rsidP="00BA4A2D">
            <w:pPr>
              <w:widowControl w:val="0"/>
              <w:spacing w:after="0" w:line="240" w:lineRule="auto"/>
              <w:jc w:val="right"/>
            </w:pPr>
            <w:r>
              <w:t>.927</w:t>
            </w:r>
          </w:p>
        </w:tc>
        <w:tc>
          <w:tcPr>
            <w:tcW w:w="1350" w:type="dxa"/>
          </w:tcPr>
          <w:p w14:paraId="0E16D63A" w14:textId="77777777" w:rsidR="009B44C0" w:rsidRDefault="009B44C0" w:rsidP="00BA4A2D">
            <w:pPr>
              <w:widowControl w:val="0"/>
              <w:spacing w:after="0" w:line="240" w:lineRule="auto"/>
              <w:jc w:val="right"/>
            </w:pPr>
            <w:r>
              <w:t>5.205</w:t>
            </w:r>
          </w:p>
        </w:tc>
        <w:tc>
          <w:tcPr>
            <w:tcW w:w="1158" w:type="dxa"/>
          </w:tcPr>
          <w:p w14:paraId="1D251CB4" w14:textId="77777777" w:rsidR="009B44C0" w:rsidRDefault="009B44C0" w:rsidP="00BA4A2D">
            <w:pPr>
              <w:widowControl w:val="0"/>
              <w:spacing w:after="0" w:line="240" w:lineRule="auto"/>
              <w:jc w:val="right"/>
            </w:pPr>
            <w:r>
              <w:t>1</w:t>
            </w:r>
          </w:p>
        </w:tc>
        <w:tc>
          <w:tcPr>
            <w:tcW w:w="1158" w:type="dxa"/>
          </w:tcPr>
          <w:p w14:paraId="33CAF09F" w14:textId="77777777" w:rsidR="009B44C0" w:rsidRDefault="009B44C0" w:rsidP="00BA4A2D">
            <w:pPr>
              <w:widowControl w:val="0"/>
              <w:spacing w:after="0" w:line="240" w:lineRule="auto"/>
              <w:jc w:val="right"/>
            </w:pPr>
            <w:r>
              <w:t>.023</w:t>
            </w:r>
          </w:p>
        </w:tc>
        <w:tc>
          <w:tcPr>
            <w:tcW w:w="1158" w:type="dxa"/>
          </w:tcPr>
          <w:p w14:paraId="0B7DC554" w14:textId="77777777" w:rsidR="009B44C0" w:rsidRDefault="009B44C0" w:rsidP="00BA4A2D">
            <w:pPr>
              <w:widowControl w:val="0"/>
              <w:spacing w:after="0" w:line="240" w:lineRule="auto"/>
              <w:jc w:val="right"/>
            </w:pPr>
            <w:r>
              <w:t>8.290</w:t>
            </w:r>
          </w:p>
        </w:tc>
      </w:tr>
      <w:tr w:rsidR="009B44C0" w14:paraId="7EB7C2C5" w14:textId="77777777" w:rsidTr="00BA4A2D">
        <w:trPr>
          <w:trHeight w:hRule="exact" w:val="270"/>
        </w:trPr>
        <w:tc>
          <w:tcPr>
            <w:tcW w:w="1370" w:type="dxa"/>
          </w:tcPr>
          <w:p w14:paraId="0F0A3837" w14:textId="68E4A92B" w:rsidR="009B44C0" w:rsidRPr="004F2C7F" w:rsidRDefault="009B44C0" w:rsidP="00BA4A2D">
            <w:pPr>
              <w:widowControl w:val="0"/>
              <w:spacing w:after="0" w:line="240" w:lineRule="auto"/>
              <w:rPr>
                <w:iCs/>
                <w:vertAlign w:val="superscript"/>
              </w:rPr>
            </w:pPr>
            <w:r w:rsidRPr="004F2C7F">
              <w:rPr>
                <w:iCs/>
              </w:rPr>
              <w:t>VL</w:t>
            </w:r>
          </w:p>
        </w:tc>
        <w:tc>
          <w:tcPr>
            <w:tcW w:w="1401" w:type="dxa"/>
          </w:tcPr>
          <w:p w14:paraId="161B5DFD" w14:textId="77777777" w:rsidR="009B44C0" w:rsidRDefault="009B44C0" w:rsidP="00BA4A2D">
            <w:pPr>
              <w:widowControl w:val="0"/>
              <w:spacing w:after="0" w:line="240" w:lineRule="auto"/>
              <w:jc w:val="right"/>
            </w:pPr>
            <w:r>
              <w:t>1.190</w:t>
            </w:r>
          </w:p>
        </w:tc>
        <w:tc>
          <w:tcPr>
            <w:tcW w:w="1765" w:type="dxa"/>
          </w:tcPr>
          <w:p w14:paraId="32F17BBE" w14:textId="77777777" w:rsidR="009B44C0" w:rsidRDefault="009B44C0" w:rsidP="00BA4A2D">
            <w:pPr>
              <w:widowControl w:val="0"/>
              <w:spacing w:after="0" w:line="240" w:lineRule="auto"/>
              <w:jc w:val="right"/>
            </w:pPr>
            <w:r>
              <w:t>.895</w:t>
            </w:r>
          </w:p>
        </w:tc>
        <w:tc>
          <w:tcPr>
            <w:tcW w:w="1350" w:type="dxa"/>
          </w:tcPr>
          <w:p w14:paraId="7524F0C7" w14:textId="77777777" w:rsidR="009B44C0" w:rsidRDefault="009B44C0" w:rsidP="00BA4A2D">
            <w:pPr>
              <w:widowControl w:val="0"/>
              <w:spacing w:after="0" w:line="240" w:lineRule="auto"/>
              <w:jc w:val="right"/>
            </w:pPr>
            <w:r>
              <w:t>1.768</w:t>
            </w:r>
          </w:p>
        </w:tc>
        <w:tc>
          <w:tcPr>
            <w:tcW w:w="1158" w:type="dxa"/>
          </w:tcPr>
          <w:p w14:paraId="2535EA72" w14:textId="77777777" w:rsidR="009B44C0" w:rsidRDefault="009B44C0" w:rsidP="00BA4A2D">
            <w:pPr>
              <w:widowControl w:val="0"/>
              <w:spacing w:after="0" w:line="240" w:lineRule="auto"/>
              <w:jc w:val="right"/>
            </w:pPr>
            <w:r>
              <w:t>1</w:t>
            </w:r>
          </w:p>
        </w:tc>
        <w:tc>
          <w:tcPr>
            <w:tcW w:w="1158" w:type="dxa"/>
          </w:tcPr>
          <w:p w14:paraId="206FDD79" w14:textId="77777777" w:rsidR="009B44C0" w:rsidRDefault="009B44C0" w:rsidP="00BA4A2D">
            <w:pPr>
              <w:widowControl w:val="0"/>
              <w:spacing w:after="0" w:line="240" w:lineRule="auto"/>
              <w:jc w:val="right"/>
            </w:pPr>
            <w:r>
              <w:t>.184</w:t>
            </w:r>
          </w:p>
        </w:tc>
        <w:tc>
          <w:tcPr>
            <w:tcW w:w="1158" w:type="dxa"/>
          </w:tcPr>
          <w:p w14:paraId="7E903E6C" w14:textId="77777777" w:rsidR="009B44C0" w:rsidRDefault="009B44C0" w:rsidP="00BA4A2D">
            <w:pPr>
              <w:widowControl w:val="0"/>
              <w:spacing w:after="0" w:line="240" w:lineRule="auto"/>
              <w:jc w:val="right"/>
            </w:pPr>
            <w:r>
              <w:t>3.287</w:t>
            </w:r>
          </w:p>
        </w:tc>
      </w:tr>
      <w:tr w:rsidR="009B44C0" w14:paraId="57E368BC" w14:textId="77777777" w:rsidTr="00BA4A2D">
        <w:trPr>
          <w:trHeight w:hRule="exact" w:val="288"/>
        </w:trPr>
        <w:tc>
          <w:tcPr>
            <w:tcW w:w="1370" w:type="dxa"/>
          </w:tcPr>
          <w:p w14:paraId="6AB80469" w14:textId="7AC10F0C" w:rsidR="009B44C0" w:rsidRPr="004F2C7F" w:rsidRDefault="009B44C0" w:rsidP="00BA4A2D">
            <w:pPr>
              <w:widowControl w:val="0"/>
              <w:spacing w:after="0" w:line="240" w:lineRule="auto"/>
              <w:rPr>
                <w:iCs/>
                <w:vertAlign w:val="superscript"/>
              </w:rPr>
            </w:pPr>
            <w:r w:rsidRPr="004F2C7F">
              <w:rPr>
                <w:iCs/>
              </w:rPr>
              <w:t>SP</w:t>
            </w:r>
          </w:p>
        </w:tc>
        <w:tc>
          <w:tcPr>
            <w:tcW w:w="1401" w:type="dxa"/>
          </w:tcPr>
          <w:p w14:paraId="308E324C" w14:textId="77777777" w:rsidR="009B44C0" w:rsidRDefault="009B44C0" w:rsidP="00BA4A2D">
            <w:pPr>
              <w:widowControl w:val="0"/>
              <w:spacing w:after="0" w:line="240" w:lineRule="auto"/>
              <w:jc w:val="right"/>
            </w:pPr>
            <w:r>
              <w:t>-1.206</w:t>
            </w:r>
          </w:p>
        </w:tc>
        <w:tc>
          <w:tcPr>
            <w:tcW w:w="1765" w:type="dxa"/>
          </w:tcPr>
          <w:p w14:paraId="5A2C54A4" w14:textId="77777777" w:rsidR="009B44C0" w:rsidRDefault="009B44C0" w:rsidP="00BA4A2D">
            <w:pPr>
              <w:widowControl w:val="0"/>
              <w:spacing w:after="0" w:line="240" w:lineRule="auto"/>
              <w:jc w:val="right"/>
            </w:pPr>
            <w:r>
              <w:t>.709</w:t>
            </w:r>
          </w:p>
        </w:tc>
        <w:tc>
          <w:tcPr>
            <w:tcW w:w="1350" w:type="dxa"/>
          </w:tcPr>
          <w:p w14:paraId="71B7F8E8" w14:textId="77777777" w:rsidR="009B44C0" w:rsidRDefault="009B44C0" w:rsidP="00BA4A2D">
            <w:pPr>
              <w:widowControl w:val="0"/>
              <w:spacing w:after="0" w:line="240" w:lineRule="auto"/>
              <w:jc w:val="right"/>
            </w:pPr>
            <w:r>
              <w:t>2.895</w:t>
            </w:r>
          </w:p>
        </w:tc>
        <w:tc>
          <w:tcPr>
            <w:tcW w:w="1158" w:type="dxa"/>
          </w:tcPr>
          <w:p w14:paraId="39D4DA9C" w14:textId="77777777" w:rsidR="009B44C0" w:rsidRDefault="009B44C0" w:rsidP="00BA4A2D">
            <w:pPr>
              <w:widowControl w:val="0"/>
              <w:spacing w:after="0" w:line="240" w:lineRule="auto"/>
              <w:jc w:val="right"/>
            </w:pPr>
            <w:r>
              <w:t>1</w:t>
            </w:r>
          </w:p>
        </w:tc>
        <w:tc>
          <w:tcPr>
            <w:tcW w:w="1158" w:type="dxa"/>
          </w:tcPr>
          <w:p w14:paraId="35D3761A" w14:textId="77777777" w:rsidR="009B44C0" w:rsidRDefault="009B44C0" w:rsidP="00BA4A2D">
            <w:pPr>
              <w:widowControl w:val="0"/>
              <w:spacing w:after="0" w:line="240" w:lineRule="auto"/>
              <w:jc w:val="right"/>
            </w:pPr>
            <w:r>
              <w:t>.089</w:t>
            </w:r>
          </w:p>
        </w:tc>
        <w:tc>
          <w:tcPr>
            <w:tcW w:w="1158" w:type="dxa"/>
          </w:tcPr>
          <w:p w14:paraId="0C669EB6" w14:textId="77777777" w:rsidR="009B44C0" w:rsidRDefault="009B44C0" w:rsidP="00BA4A2D">
            <w:pPr>
              <w:widowControl w:val="0"/>
              <w:spacing w:after="0" w:line="240" w:lineRule="auto"/>
              <w:jc w:val="right"/>
            </w:pPr>
            <w:r>
              <w:t>.299</w:t>
            </w:r>
          </w:p>
        </w:tc>
      </w:tr>
      <w:tr w:rsidR="009B44C0" w14:paraId="4CCFA681" w14:textId="77777777" w:rsidTr="00BA4A2D">
        <w:trPr>
          <w:trHeight w:hRule="exact" w:val="252"/>
        </w:trPr>
        <w:tc>
          <w:tcPr>
            <w:tcW w:w="1370" w:type="dxa"/>
            <w:tcBorders>
              <w:bottom w:val="single" w:sz="4" w:space="0" w:color="auto"/>
            </w:tcBorders>
          </w:tcPr>
          <w:p w14:paraId="4A35CC1D" w14:textId="5717F3EC" w:rsidR="009B44C0" w:rsidRPr="004F2C7F" w:rsidRDefault="009B44C0" w:rsidP="00BA4A2D">
            <w:pPr>
              <w:widowControl w:val="0"/>
              <w:spacing w:after="0" w:line="240" w:lineRule="auto"/>
              <w:rPr>
                <w:iCs/>
                <w:vertAlign w:val="superscript"/>
              </w:rPr>
            </w:pPr>
            <w:r w:rsidRPr="004F2C7F">
              <w:rPr>
                <w:iCs/>
              </w:rPr>
              <w:t>PS</w:t>
            </w:r>
          </w:p>
        </w:tc>
        <w:tc>
          <w:tcPr>
            <w:tcW w:w="1401" w:type="dxa"/>
            <w:tcBorders>
              <w:bottom w:val="single" w:sz="4" w:space="0" w:color="auto"/>
            </w:tcBorders>
          </w:tcPr>
          <w:p w14:paraId="0CE449E2" w14:textId="77777777" w:rsidR="009B44C0" w:rsidRDefault="009B44C0" w:rsidP="00BA4A2D">
            <w:pPr>
              <w:widowControl w:val="0"/>
              <w:spacing w:after="0" w:line="240" w:lineRule="auto"/>
              <w:jc w:val="right"/>
            </w:pPr>
            <w:r>
              <w:t>.363</w:t>
            </w:r>
          </w:p>
        </w:tc>
        <w:tc>
          <w:tcPr>
            <w:tcW w:w="1765" w:type="dxa"/>
            <w:tcBorders>
              <w:bottom w:val="single" w:sz="4" w:space="0" w:color="auto"/>
            </w:tcBorders>
          </w:tcPr>
          <w:p w14:paraId="2CF3124F" w14:textId="77777777" w:rsidR="009B44C0" w:rsidRDefault="009B44C0" w:rsidP="00BA4A2D">
            <w:pPr>
              <w:widowControl w:val="0"/>
              <w:spacing w:after="0" w:line="240" w:lineRule="auto"/>
              <w:jc w:val="right"/>
            </w:pPr>
            <w:r>
              <w:t>.700</w:t>
            </w:r>
          </w:p>
        </w:tc>
        <w:tc>
          <w:tcPr>
            <w:tcW w:w="1350" w:type="dxa"/>
            <w:tcBorders>
              <w:bottom w:val="single" w:sz="4" w:space="0" w:color="auto"/>
            </w:tcBorders>
          </w:tcPr>
          <w:p w14:paraId="041224D0" w14:textId="77777777" w:rsidR="009B44C0" w:rsidRDefault="009B44C0" w:rsidP="00BA4A2D">
            <w:pPr>
              <w:widowControl w:val="0"/>
              <w:spacing w:after="0" w:line="240" w:lineRule="auto"/>
              <w:jc w:val="right"/>
            </w:pPr>
            <w:r>
              <w:t>.270</w:t>
            </w:r>
          </w:p>
        </w:tc>
        <w:tc>
          <w:tcPr>
            <w:tcW w:w="1158" w:type="dxa"/>
            <w:tcBorders>
              <w:bottom w:val="single" w:sz="4" w:space="0" w:color="auto"/>
            </w:tcBorders>
          </w:tcPr>
          <w:p w14:paraId="471AF74F" w14:textId="77777777" w:rsidR="009B44C0" w:rsidRDefault="009B44C0" w:rsidP="00BA4A2D">
            <w:pPr>
              <w:widowControl w:val="0"/>
              <w:spacing w:after="0" w:line="240" w:lineRule="auto"/>
              <w:jc w:val="right"/>
            </w:pPr>
            <w:r>
              <w:t>1</w:t>
            </w:r>
          </w:p>
        </w:tc>
        <w:tc>
          <w:tcPr>
            <w:tcW w:w="1158" w:type="dxa"/>
            <w:tcBorders>
              <w:bottom w:val="single" w:sz="4" w:space="0" w:color="auto"/>
            </w:tcBorders>
          </w:tcPr>
          <w:p w14:paraId="708E70EE" w14:textId="77777777" w:rsidR="009B44C0" w:rsidRDefault="009B44C0" w:rsidP="00BA4A2D">
            <w:pPr>
              <w:widowControl w:val="0"/>
              <w:spacing w:after="0" w:line="240" w:lineRule="auto"/>
              <w:jc w:val="right"/>
            </w:pPr>
            <w:r>
              <w:t>.604</w:t>
            </w:r>
          </w:p>
        </w:tc>
        <w:tc>
          <w:tcPr>
            <w:tcW w:w="1158" w:type="dxa"/>
            <w:tcBorders>
              <w:bottom w:val="single" w:sz="4" w:space="0" w:color="auto"/>
            </w:tcBorders>
          </w:tcPr>
          <w:p w14:paraId="238F557F" w14:textId="77777777" w:rsidR="009B44C0" w:rsidRDefault="009B44C0" w:rsidP="00BA4A2D">
            <w:pPr>
              <w:widowControl w:val="0"/>
              <w:spacing w:after="0" w:line="240" w:lineRule="auto"/>
              <w:jc w:val="right"/>
            </w:pPr>
            <w:r>
              <w:t>1.438</w:t>
            </w:r>
          </w:p>
        </w:tc>
      </w:tr>
    </w:tbl>
    <w:p w14:paraId="6872CB66" w14:textId="08CC3B7F" w:rsidR="009B44C0" w:rsidRPr="00BA4A2D" w:rsidRDefault="00A524CC" w:rsidP="00BA4A2D">
      <w:pPr>
        <w:widowControl w:val="0"/>
        <w:spacing w:after="0" w:line="480" w:lineRule="auto"/>
        <w:rPr>
          <w:rFonts w:ascii="Times New Roman" w:hAnsi="Times New Roman" w:cs="Times New Roman"/>
          <w:sz w:val="24"/>
          <w:szCs w:val="24"/>
        </w:rPr>
      </w:pPr>
      <w:r w:rsidRPr="00BA4A2D">
        <w:rPr>
          <w:rFonts w:ascii="Times New Roman" w:hAnsi="Times New Roman" w:cs="Times New Roman"/>
          <w:i/>
          <w:sz w:val="24"/>
          <w:szCs w:val="24"/>
        </w:rPr>
        <w:t>Note</w:t>
      </w:r>
      <w:r w:rsidRPr="00BA4A2D">
        <w:rPr>
          <w:rFonts w:ascii="Times New Roman" w:hAnsi="Times New Roman" w:cs="Times New Roman"/>
          <w:sz w:val="24"/>
          <w:szCs w:val="24"/>
        </w:rPr>
        <w:t xml:space="preserve">. </w:t>
      </w:r>
      <w:r w:rsidR="00A27A84" w:rsidRPr="00BA4A2D">
        <w:rPr>
          <w:rFonts w:ascii="Times New Roman" w:hAnsi="Times New Roman" w:cs="Times New Roman"/>
          <w:sz w:val="24"/>
          <w:szCs w:val="24"/>
        </w:rPr>
        <w:t xml:space="preserve">S1G = semester one grade, coded from </w:t>
      </w:r>
      <w:r w:rsidR="002F08EE" w:rsidRPr="00BA4A2D">
        <w:rPr>
          <w:rFonts w:ascii="Times New Roman" w:hAnsi="Times New Roman" w:cs="Times New Roman"/>
          <w:sz w:val="24"/>
          <w:szCs w:val="24"/>
        </w:rPr>
        <w:t>A+ =</w:t>
      </w:r>
      <w:r w:rsidR="00A27A84" w:rsidRPr="00BA4A2D">
        <w:rPr>
          <w:rFonts w:ascii="Times New Roman" w:hAnsi="Times New Roman" w:cs="Times New Roman"/>
          <w:sz w:val="24"/>
          <w:szCs w:val="24"/>
        </w:rPr>
        <w:t xml:space="preserve">12 </w:t>
      </w:r>
      <w:r w:rsidR="002F08EE" w:rsidRPr="00BA4A2D">
        <w:rPr>
          <w:rFonts w:ascii="Times New Roman" w:hAnsi="Times New Roman" w:cs="Times New Roman"/>
          <w:sz w:val="24"/>
          <w:szCs w:val="24"/>
        </w:rPr>
        <w:t>to F</w:t>
      </w:r>
      <w:r w:rsidR="00A27A84" w:rsidRPr="00BA4A2D">
        <w:rPr>
          <w:rFonts w:ascii="Times New Roman" w:hAnsi="Times New Roman" w:cs="Times New Roman"/>
          <w:sz w:val="24"/>
          <w:szCs w:val="24"/>
        </w:rPr>
        <w:t xml:space="preserve"> </w:t>
      </w:r>
      <w:r w:rsidR="002F08EE" w:rsidRPr="00BA4A2D">
        <w:rPr>
          <w:rFonts w:ascii="Times New Roman" w:hAnsi="Times New Roman" w:cs="Times New Roman"/>
          <w:sz w:val="24"/>
          <w:szCs w:val="24"/>
        </w:rPr>
        <w:t>=</w:t>
      </w:r>
      <w:r w:rsidR="00A27A84" w:rsidRPr="00BA4A2D">
        <w:rPr>
          <w:rFonts w:ascii="Times New Roman" w:hAnsi="Times New Roman" w:cs="Times New Roman"/>
          <w:sz w:val="24"/>
          <w:szCs w:val="24"/>
        </w:rPr>
        <w:t xml:space="preserve"> 0. </w:t>
      </w:r>
      <w:r w:rsidR="003C6FB0" w:rsidRPr="00BA4A2D">
        <w:rPr>
          <w:rFonts w:ascii="Times New Roman" w:hAnsi="Times New Roman" w:cs="Times New Roman"/>
          <w:sz w:val="24"/>
          <w:szCs w:val="24"/>
        </w:rPr>
        <w:t>PKG = physics knowledge growth is measured on the Force Concept Inventory assessment and scored numerically from 0 to 30, post-course score minus pre-course score</w:t>
      </w:r>
      <w:r w:rsidR="00A27A84" w:rsidRPr="00BA4A2D">
        <w:rPr>
          <w:rFonts w:ascii="Times New Roman" w:hAnsi="Times New Roman" w:cs="Times New Roman"/>
          <w:sz w:val="24"/>
          <w:szCs w:val="24"/>
        </w:rPr>
        <w:t>. Gender was coded 1 = woman and 0 = man</w:t>
      </w:r>
      <w:r w:rsidR="009228F6" w:rsidRPr="00BA4A2D">
        <w:rPr>
          <w:rFonts w:ascii="Times New Roman" w:hAnsi="Times New Roman" w:cs="Times New Roman"/>
          <w:sz w:val="24"/>
          <w:szCs w:val="24"/>
        </w:rPr>
        <w:t xml:space="preserve">. </w:t>
      </w:r>
      <w:r w:rsidR="00AF5110" w:rsidRPr="00F50919">
        <w:rPr>
          <w:rFonts w:ascii="Times New Roman" w:hAnsi="Times New Roman" w:cs="Times New Roman"/>
          <w:sz w:val="24"/>
          <w:szCs w:val="24"/>
        </w:rPr>
        <w:t>ME = level of self-efficacy due to mastery experience</w:t>
      </w:r>
      <w:r w:rsidR="00AF5110">
        <w:rPr>
          <w:rFonts w:ascii="Times New Roman" w:hAnsi="Times New Roman" w:cs="Times New Roman"/>
          <w:sz w:val="24"/>
          <w:szCs w:val="24"/>
        </w:rPr>
        <w:t>,</w:t>
      </w:r>
      <w:r w:rsidR="00AF5110" w:rsidRPr="00F50919">
        <w:rPr>
          <w:rFonts w:ascii="Times New Roman" w:hAnsi="Times New Roman" w:cs="Times New Roman"/>
          <w:sz w:val="24"/>
          <w:szCs w:val="24"/>
        </w:rPr>
        <w:t xml:space="preserve"> VL = level of self-efficacy due to vicarious learning</w:t>
      </w:r>
      <w:r w:rsidR="00AF5110">
        <w:rPr>
          <w:rFonts w:ascii="Times New Roman" w:hAnsi="Times New Roman" w:cs="Times New Roman"/>
          <w:sz w:val="24"/>
          <w:szCs w:val="24"/>
        </w:rPr>
        <w:t>,</w:t>
      </w:r>
      <w:r w:rsidR="00AF5110" w:rsidRPr="00F50919">
        <w:rPr>
          <w:rFonts w:ascii="Times New Roman" w:hAnsi="Times New Roman" w:cs="Times New Roman"/>
          <w:sz w:val="24"/>
          <w:szCs w:val="24"/>
        </w:rPr>
        <w:t xml:space="preserve"> SP = level of self-efficacy due to social persuasion</w:t>
      </w:r>
      <w:r w:rsidR="00AF5110">
        <w:rPr>
          <w:rFonts w:ascii="Times New Roman" w:hAnsi="Times New Roman" w:cs="Times New Roman"/>
          <w:sz w:val="24"/>
          <w:szCs w:val="24"/>
        </w:rPr>
        <w:t>,</w:t>
      </w:r>
      <w:r w:rsidR="00AF5110" w:rsidRPr="00F50919">
        <w:rPr>
          <w:rFonts w:ascii="Times New Roman" w:hAnsi="Times New Roman" w:cs="Times New Roman"/>
          <w:sz w:val="24"/>
          <w:szCs w:val="24"/>
        </w:rPr>
        <w:t xml:space="preserve"> PS = level of self-efficacy due to physiological state</w:t>
      </w:r>
      <w:r w:rsidR="00AF5110">
        <w:rPr>
          <w:rFonts w:ascii="Times New Roman" w:hAnsi="Times New Roman" w:cs="Times New Roman"/>
          <w:sz w:val="24"/>
          <w:szCs w:val="24"/>
        </w:rPr>
        <w:t>. ME, VL, SP, and PS were</w:t>
      </w:r>
      <w:r w:rsidR="00AF5110" w:rsidRPr="00F50919">
        <w:rPr>
          <w:rFonts w:ascii="Times New Roman" w:hAnsi="Times New Roman" w:cs="Times New Roman"/>
          <w:sz w:val="24"/>
          <w:szCs w:val="24"/>
        </w:rPr>
        <w:t xml:space="preserve"> scored on a 1 to 5 Likert scale.</w:t>
      </w:r>
    </w:p>
    <w:p w14:paraId="1368A8C9" w14:textId="0891D7EE" w:rsidR="006C60E5" w:rsidRDefault="00F03378" w:rsidP="00BA4A2D">
      <w:pPr>
        <w:widowControl w:val="0"/>
        <w:spacing w:after="0"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Controlling for </w:t>
      </w:r>
      <w:r w:rsidR="00763316">
        <w:rPr>
          <w:rFonts w:ascii="Times New Roman" w:hAnsi="Times New Roman" w:cs="Times New Roman"/>
          <w:sz w:val="24"/>
          <w:szCs w:val="24"/>
        </w:rPr>
        <w:t xml:space="preserve">the </w:t>
      </w:r>
      <w:r>
        <w:rPr>
          <w:rFonts w:ascii="Times New Roman" w:hAnsi="Times New Roman" w:cs="Times New Roman"/>
          <w:sz w:val="24"/>
          <w:szCs w:val="24"/>
        </w:rPr>
        <w:t xml:space="preserve">other variables, each additional unit of level of mastery experience was associated with </w:t>
      </w:r>
      <w:r w:rsidR="009B44C0">
        <w:rPr>
          <w:rFonts w:ascii="Times New Roman" w:hAnsi="Times New Roman" w:cs="Times New Roman"/>
          <w:sz w:val="24"/>
          <w:szCs w:val="24"/>
        </w:rPr>
        <w:t xml:space="preserve">an increase in the odds of enrolling in a second year of high school physics </w:t>
      </w:r>
      <w:r w:rsidR="003C6FB0">
        <w:rPr>
          <w:rFonts w:ascii="Times New Roman" w:hAnsi="Times New Roman" w:cs="Times New Roman"/>
          <w:sz w:val="24"/>
          <w:szCs w:val="24"/>
        </w:rPr>
        <w:t xml:space="preserve">by a factor of </w:t>
      </w:r>
      <w:r>
        <w:rPr>
          <w:rFonts w:ascii="Times New Roman" w:hAnsi="Times New Roman" w:cs="Times New Roman"/>
          <w:sz w:val="24"/>
          <w:szCs w:val="24"/>
        </w:rPr>
        <w:t>8.</w:t>
      </w:r>
      <w:r w:rsidR="009B44C0">
        <w:rPr>
          <w:rFonts w:ascii="Times New Roman" w:hAnsi="Times New Roman" w:cs="Times New Roman"/>
          <w:sz w:val="24"/>
          <w:szCs w:val="24"/>
        </w:rPr>
        <w:t>29</w:t>
      </w:r>
      <w:r w:rsidR="003C6FB0">
        <w:rPr>
          <w:rFonts w:ascii="Times New Roman" w:hAnsi="Times New Roman" w:cs="Times New Roman"/>
          <w:sz w:val="24"/>
          <w:szCs w:val="24"/>
        </w:rPr>
        <w:t xml:space="preserve">. </w:t>
      </w:r>
    </w:p>
    <w:p w14:paraId="06AACED7" w14:textId="142DC2F2" w:rsidR="006C60E5" w:rsidRDefault="006C60E5" w:rsidP="00BA4A2D">
      <w:pPr>
        <w:widowControl w:val="0"/>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Research Question </w:t>
      </w:r>
      <w:r w:rsidR="002F08EE">
        <w:rPr>
          <w:rFonts w:ascii="Times New Roman" w:hAnsi="Times New Roman" w:cs="Times New Roman"/>
          <w:b/>
          <w:sz w:val="24"/>
          <w:szCs w:val="24"/>
        </w:rPr>
        <w:t>#</w:t>
      </w:r>
      <w:r>
        <w:rPr>
          <w:rFonts w:ascii="Times New Roman" w:hAnsi="Times New Roman" w:cs="Times New Roman"/>
          <w:b/>
          <w:sz w:val="24"/>
          <w:szCs w:val="24"/>
        </w:rPr>
        <w:t>2</w:t>
      </w:r>
    </w:p>
    <w:p w14:paraId="2EB9E50A" w14:textId="7C44F831" w:rsidR="00E70F68" w:rsidRDefault="00F03378" w:rsidP="00BA4A2D">
      <w:pPr>
        <w:widowControl w:val="0"/>
        <w:spacing w:after="0" w:line="480" w:lineRule="auto"/>
        <w:rPr>
          <w:rFonts w:ascii="Times New Roman" w:hAnsi="Times New Roman" w:cs="Times New Roman"/>
          <w:sz w:val="24"/>
          <w:szCs w:val="24"/>
        </w:rPr>
      </w:pPr>
      <w:r>
        <w:rPr>
          <w:rFonts w:ascii="Times New Roman" w:hAnsi="Times New Roman" w:cs="Times New Roman"/>
          <w:b/>
          <w:sz w:val="24"/>
          <w:szCs w:val="24"/>
        </w:rPr>
        <w:tab/>
      </w:r>
      <w:r w:rsidRPr="00C36928">
        <w:rPr>
          <w:rFonts w:ascii="Times New Roman" w:hAnsi="Times New Roman" w:cs="Times New Roman"/>
          <w:sz w:val="24"/>
          <w:szCs w:val="24"/>
        </w:rPr>
        <w:t>Logisti</w:t>
      </w:r>
      <w:r>
        <w:rPr>
          <w:rFonts w:ascii="Times New Roman" w:hAnsi="Times New Roman" w:cs="Times New Roman"/>
          <w:sz w:val="24"/>
          <w:szCs w:val="24"/>
        </w:rPr>
        <w:t xml:space="preserve">c regression was performed on 61 participants who identified </w:t>
      </w:r>
      <w:r w:rsidR="00763316">
        <w:rPr>
          <w:rFonts w:ascii="Times New Roman" w:hAnsi="Times New Roman" w:cs="Times New Roman"/>
          <w:sz w:val="24"/>
          <w:szCs w:val="24"/>
        </w:rPr>
        <w:t xml:space="preserve">as </w:t>
      </w:r>
      <w:r>
        <w:rPr>
          <w:rFonts w:ascii="Times New Roman" w:hAnsi="Times New Roman" w:cs="Times New Roman"/>
          <w:sz w:val="24"/>
          <w:szCs w:val="24"/>
        </w:rPr>
        <w:t xml:space="preserve">men and 59 participants who identified </w:t>
      </w:r>
      <w:r w:rsidR="00763316">
        <w:rPr>
          <w:rFonts w:ascii="Times New Roman" w:hAnsi="Times New Roman" w:cs="Times New Roman"/>
          <w:sz w:val="24"/>
          <w:szCs w:val="24"/>
        </w:rPr>
        <w:t xml:space="preserve">as </w:t>
      </w:r>
      <w:r>
        <w:rPr>
          <w:rFonts w:ascii="Times New Roman" w:hAnsi="Times New Roman" w:cs="Times New Roman"/>
          <w:sz w:val="24"/>
          <w:szCs w:val="24"/>
        </w:rPr>
        <w:t>women</w:t>
      </w:r>
      <w:r w:rsidRPr="00C36928">
        <w:rPr>
          <w:rFonts w:ascii="Times New Roman" w:hAnsi="Times New Roman" w:cs="Times New Roman"/>
          <w:sz w:val="24"/>
          <w:szCs w:val="24"/>
        </w:rPr>
        <w:t xml:space="preserve"> to determine if </w:t>
      </w:r>
      <w:r>
        <w:rPr>
          <w:rFonts w:ascii="Times New Roman" w:hAnsi="Times New Roman" w:cs="Times New Roman"/>
          <w:sz w:val="24"/>
          <w:szCs w:val="24"/>
        </w:rPr>
        <w:t xml:space="preserve">there </w:t>
      </w:r>
      <w:r w:rsidR="00763316">
        <w:rPr>
          <w:rFonts w:ascii="Times New Roman" w:hAnsi="Times New Roman" w:cs="Times New Roman"/>
          <w:sz w:val="24"/>
          <w:szCs w:val="24"/>
        </w:rPr>
        <w:t xml:space="preserve">were </w:t>
      </w:r>
      <w:r>
        <w:rPr>
          <w:rFonts w:ascii="Times New Roman" w:hAnsi="Times New Roman" w:cs="Times New Roman"/>
          <w:sz w:val="24"/>
          <w:szCs w:val="24"/>
        </w:rPr>
        <w:t xml:space="preserve">differences </w:t>
      </w:r>
      <w:r w:rsidR="00EF05B1">
        <w:rPr>
          <w:rFonts w:ascii="Times New Roman" w:hAnsi="Times New Roman" w:cs="Times New Roman"/>
          <w:sz w:val="24"/>
          <w:szCs w:val="24"/>
        </w:rPr>
        <w:t>by gender</w:t>
      </w:r>
      <w:r>
        <w:rPr>
          <w:rFonts w:ascii="Times New Roman" w:hAnsi="Times New Roman" w:cs="Times New Roman"/>
          <w:sz w:val="24"/>
          <w:szCs w:val="24"/>
        </w:rPr>
        <w:t xml:space="preserve"> on the impact of </w:t>
      </w:r>
      <w:r w:rsidR="00763316">
        <w:rPr>
          <w:rFonts w:ascii="Times New Roman" w:hAnsi="Times New Roman" w:cs="Times New Roman"/>
          <w:sz w:val="24"/>
          <w:szCs w:val="24"/>
        </w:rPr>
        <w:t xml:space="preserve">the four factors of </w:t>
      </w:r>
      <w:r>
        <w:rPr>
          <w:rFonts w:ascii="Times New Roman" w:hAnsi="Times New Roman" w:cs="Times New Roman"/>
          <w:sz w:val="24"/>
          <w:szCs w:val="24"/>
        </w:rPr>
        <w:t xml:space="preserve">self-efficacy on enrolling in a second year of high school physics. </w:t>
      </w:r>
      <w:r w:rsidR="003F130A">
        <w:rPr>
          <w:rFonts w:ascii="Times New Roman" w:hAnsi="Times New Roman" w:cs="Times New Roman"/>
          <w:sz w:val="24"/>
          <w:szCs w:val="24"/>
        </w:rPr>
        <w:t>The</w:t>
      </w:r>
      <w:r w:rsidR="003F130A" w:rsidRPr="00C36928">
        <w:rPr>
          <w:rFonts w:ascii="Times New Roman" w:hAnsi="Times New Roman" w:cs="Times New Roman"/>
          <w:sz w:val="24"/>
          <w:szCs w:val="24"/>
        </w:rPr>
        <w:t xml:space="preserve"> </w:t>
      </w:r>
      <w:r w:rsidR="005B69C5" w:rsidRPr="00C36928">
        <w:rPr>
          <w:rFonts w:ascii="Times New Roman" w:hAnsi="Times New Roman" w:cs="Times New Roman"/>
          <w:sz w:val="24"/>
          <w:szCs w:val="24"/>
        </w:rPr>
        <w:t xml:space="preserve">variables of semester one </w:t>
      </w:r>
      <w:r w:rsidR="005B69C5" w:rsidRPr="00EF05B1">
        <w:rPr>
          <w:rFonts w:ascii="Times New Roman" w:hAnsi="Times New Roman" w:cs="Times New Roman"/>
          <w:sz w:val="24"/>
          <w:szCs w:val="24"/>
        </w:rPr>
        <w:t xml:space="preserve">grade </w:t>
      </w:r>
      <w:r w:rsidR="00EF05B1">
        <w:rPr>
          <w:rFonts w:ascii="Times New Roman" w:hAnsi="Times New Roman" w:cs="Times New Roman"/>
          <w:sz w:val="24"/>
          <w:szCs w:val="24"/>
        </w:rPr>
        <w:t>(</w:t>
      </w:r>
      <w:r w:rsidR="005B69C5" w:rsidRPr="004F2C7F">
        <w:rPr>
          <w:rFonts w:ascii="Times New Roman" w:hAnsi="Times New Roman" w:cs="Times New Roman"/>
          <w:sz w:val="24"/>
          <w:szCs w:val="24"/>
        </w:rPr>
        <w:t>S1G</w:t>
      </w:r>
      <w:r w:rsidR="00EF05B1">
        <w:rPr>
          <w:rFonts w:ascii="Times New Roman" w:hAnsi="Times New Roman" w:cs="Times New Roman"/>
          <w:sz w:val="24"/>
          <w:szCs w:val="24"/>
        </w:rPr>
        <w:t>)</w:t>
      </w:r>
      <w:r w:rsidR="00A10EB5" w:rsidRPr="00EF05B1">
        <w:rPr>
          <w:rFonts w:ascii="Times New Roman" w:hAnsi="Times New Roman" w:cs="Times New Roman"/>
          <w:sz w:val="24"/>
          <w:szCs w:val="24"/>
        </w:rPr>
        <w:t>,</w:t>
      </w:r>
      <w:r w:rsidR="005B69C5" w:rsidRPr="00EF05B1">
        <w:rPr>
          <w:rFonts w:ascii="Times New Roman" w:hAnsi="Times New Roman" w:cs="Times New Roman"/>
          <w:sz w:val="24"/>
          <w:szCs w:val="24"/>
        </w:rPr>
        <w:t xml:space="preserve"> </w:t>
      </w:r>
      <w:r w:rsidR="00E1424C" w:rsidRPr="00EF05B1">
        <w:rPr>
          <w:rFonts w:ascii="Times New Roman" w:hAnsi="Times New Roman" w:cs="Times New Roman"/>
          <w:sz w:val="24"/>
          <w:szCs w:val="24"/>
        </w:rPr>
        <w:t xml:space="preserve">and </w:t>
      </w:r>
      <w:r w:rsidR="005B69C5" w:rsidRPr="00EF05B1">
        <w:rPr>
          <w:rFonts w:ascii="Times New Roman" w:hAnsi="Times New Roman" w:cs="Times New Roman"/>
          <w:sz w:val="24"/>
          <w:szCs w:val="24"/>
        </w:rPr>
        <w:t xml:space="preserve">physics knowledge growth on the FCI test </w:t>
      </w:r>
      <w:r w:rsidR="00EF05B1">
        <w:rPr>
          <w:rFonts w:ascii="Times New Roman" w:hAnsi="Times New Roman" w:cs="Times New Roman"/>
          <w:sz w:val="24"/>
          <w:szCs w:val="24"/>
        </w:rPr>
        <w:t>(</w:t>
      </w:r>
      <w:r w:rsidR="005B69C5" w:rsidRPr="004F2C7F">
        <w:rPr>
          <w:rFonts w:ascii="Times New Roman" w:hAnsi="Times New Roman" w:cs="Times New Roman"/>
          <w:sz w:val="24"/>
          <w:szCs w:val="24"/>
        </w:rPr>
        <w:t>PKG</w:t>
      </w:r>
      <w:r w:rsidR="00EF05B1">
        <w:rPr>
          <w:rFonts w:ascii="Times New Roman" w:hAnsi="Times New Roman" w:cs="Times New Roman"/>
          <w:sz w:val="24"/>
          <w:szCs w:val="24"/>
        </w:rPr>
        <w:t>)</w:t>
      </w:r>
      <w:r w:rsidR="005B69C5" w:rsidRPr="00EF05B1">
        <w:rPr>
          <w:rFonts w:ascii="Times New Roman" w:hAnsi="Times New Roman" w:cs="Times New Roman"/>
          <w:sz w:val="24"/>
          <w:szCs w:val="24"/>
        </w:rPr>
        <w:t xml:space="preserve">, were used as control variables. </w:t>
      </w:r>
      <w:r w:rsidR="003F130A" w:rsidRPr="00EF05B1">
        <w:rPr>
          <w:rFonts w:ascii="Times New Roman" w:hAnsi="Times New Roman" w:cs="Times New Roman"/>
          <w:sz w:val="24"/>
          <w:szCs w:val="24"/>
        </w:rPr>
        <w:t xml:space="preserve">The </w:t>
      </w:r>
      <w:r w:rsidR="00746160" w:rsidRPr="00EF05B1">
        <w:rPr>
          <w:rFonts w:ascii="Times New Roman" w:hAnsi="Times New Roman" w:cs="Times New Roman"/>
          <w:sz w:val="24"/>
          <w:szCs w:val="24"/>
        </w:rPr>
        <w:t>self-efficacy</w:t>
      </w:r>
      <w:r w:rsidR="002F08EE" w:rsidRPr="00EF05B1">
        <w:rPr>
          <w:rFonts w:ascii="Times New Roman" w:hAnsi="Times New Roman" w:cs="Times New Roman"/>
          <w:sz w:val="24"/>
          <w:szCs w:val="24"/>
        </w:rPr>
        <w:t xml:space="preserve"> </w:t>
      </w:r>
      <w:r w:rsidR="005B69C5" w:rsidRPr="00EF05B1">
        <w:rPr>
          <w:rFonts w:ascii="Times New Roman" w:hAnsi="Times New Roman" w:cs="Times New Roman"/>
          <w:sz w:val="24"/>
          <w:szCs w:val="24"/>
        </w:rPr>
        <w:t xml:space="preserve">predictor variables </w:t>
      </w:r>
      <w:r w:rsidR="00F625C9" w:rsidRPr="00EF05B1">
        <w:rPr>
          <w:rFonts w:ascii="Times New Roman" w:hAnsi="Times New Roman" w:cs="Times New Roman"/>
          <w:sz w:val="24"/>
          <w:szCs w:val="24"/>
        </w:rPr>
        <w:t>of</w:t>
      </w:r>
      <w:r w:rsidR="005B69C5" w:rsidRPr="00EF05B1">
        <w:rPr>
          <w:rFonts w:ascii="Times New Roman" w:hAnsi="Times New Roman" w:cs="Times New Roman"/>
          <w:sz w:val="24"/>
          <w:szCs w:val="24"/>
        </w:rPr>
        <w:t xml:space="preserve"> mastery experience </w:t>
      </w:r>
      <w:r w:rsidR="00EF05B1">
        <w:rPr>
          <w:rFonts w:ascii="Times New Roman" w:hAnsi="Times New Roman" w:cs="Times New Roman"/>
          <w:sz w:val="24"/>
          <w:szCs w:val="24"/>
        </w:rPr>
        <w:t>(</w:t>
      </w:r>
      <w:r w:rsidR="005B69C5" w:rsidRPr="004F2C7F">
        <w:rPr>
          <w:rFonts w:ascii="Times New Roman" w:hAnsi="Times New Roman" w:cs="Times New Roman"/>
          <w:sz w:val="24"/>
          <w:szCs w:val="24"/>
        </w:rPr>
        <w:t>ME</w:t>
      </w:r>
      <w:r w:rsidR="00EF05B1">
        <w:rPr>
          <w:rFonts w:ascii="Times New Roman" w:hAnsi="Times New Roman" w:cs="Times New Roman"/>
          <w:sz w:val="24"/>
          <w:szCs w:val="24"/>
        </w:rPr>
        <w:t>)</w:t>
      </w:r>
      <w:r w:rsidR="005B69C5" w:rsidRPr="00EF05B1">
        <w:rPr>
          <w:rFonts w:ascii="Times New Roman" w:hAnsi="Times New Roman" w:cs="Times New Roman"/>
          <w:sz w:val="24"/>
          <w:szCs w:val="24"/>
        </w:rPr>
        <w:t xml:space="preserve">, vicarious learning </w:t>
      </w:r>
      <w:r w:rsidR="00EF05B1">
        <w:rPr>
          <w:rFonts w:ascii="Times New Roman" w:hAnsi="Times New Roman" w:cs="Times New Roman"/>
          <w:sz w:val="24"/>
          <w:szCs w:val="24"/>
        </w:rPr>
        <w:t>(</w:t>
      </w:r>
      <w:r w:rsidR="005B69C5" w:rsidRPr="004F2C7F">
        <w:rPr>
          <w:rFonts w:ascii="Times New Roman" w:hAnsi="Times New Roman" w:cs="Times New Roman"/>
          <w:sz w:val="24"/>
          <w:szCs w:val="24"/>
        </w:rPr>
        <w:t>VL</w:t>
      </w:r>
      <w:r w:rsidR="00EF05B1">
        <w:rPr>
          <w:rFonts w:ascii="Times New Roman" w:hAnsi="Times New Roman" w:cs="Times New Roman"/>
          <w:sz w:val="24"/>
          <w:szCs w:val="24"/>
        </w:rPr>
        <w:t>)</w:t>
      </w:r>
      <w:r w:rsidR="005B69C5" w:rsidRPr="00EF05B1">
        <w:rPr>
          <w:rFonts w:ascii="Times New Roman" w:hAnsi="Times New Roman" w:cs="Times New Roman"/>
          <w:sz w:val="24"/>
          <w:szCs w:val="24"/>
        </w:rPr>
        <w:t xml:space="preserve">, social persuasion </w:t>
      </w:r>
      <w:r w:rsidR="00EF05B1">
        <w:rPr>
          <w:rFonts w:ascii="Times New Roman" w:hAnsi="Times New Roman" w:cs="Times New Roman"/>
          <w:sz w:val="24"/>
          <w:szCs w:val="24"/>
        </w:rPr>
        <w:t>(</w:t>
      </w:r>
      <w:r w:rsidR="005B69C5" w:rsidRPr="004F2C7F">
        <w:rPr>
          <w:rFonts w:ascii="Times New Roman" w:hAnsi="Times New Roman" w:cs="Times New Roman"/>
          <w:sz w:val="24"/>
          <w:szCs w:val="24"/>
        </w:rPr>
        <w:t>SP</w:t>
      </w:r>
      <w:r w:rsidR="00EF05B1">
        <w:rPr>
          <w:rFonts w:ascii="Times New Roman" w:hAnsi="Times New Roman" w:cs="Times New Roman"/>
          <w:sz w:val="24"/>
          <w:szCs w:val="24"/>
        </w:rPr>
        <w:t>)</w:t>
      </w:r>
      <w:r w:rsidR="005B69C5" w:rsidRPr="00EF05B1">
        <w:rPr>
          <w:rFonts w:ascii="Times New Roman" w:hAnsi="Times New Roman" w:cs="Times New Roman"/>
          <w:sz w:val="24"/>
          <w:szCs w:val="24"/>
        </w:rPr>
        <w:t xml:space="preserve">, and physiological state </w:t>
      </w:r>
      <w:r w:rsidR="00EF05B1">
        <w:rPr>
          <w:rFonts w:ascii="Times New Roman" w:hAnsi="Times New Roman" w:cs="Times New Roman"/>
          <w:sz w:val="24"/>
          <w:szCs w:val="24"/>
        </w:rPr>
        <w:t>(</w:t>
      </w:r>
      <w:r w:rsidR="005B69C5" w:rsidRPr="004F2C7F">
        <w:rPr>
          <w:rFonts w:ascii="Times New Roman" w:hAnsi="Times New Roman" w:cs="Times New Roman"/>
          <w:sz w:val="24"/>
          <w:szCs w:val="24"/>
        </w:rPr>
        <w:t>PS</w:t>
      </w:r>
      <w:r w:rsidR="00EF05B1">
        <w:rPr>
          <w:rFonts w:ascii="Times New Roman" w:hAnsi="Times New Roman" w:cs="Times New Roman"/>
          <w:sz w:val="24"/>
          <w:szCs w:val="24"/>
        </w:rPr>
        <w:t>)</w:t>
      </w:r>
      <w:r w:rsidR="005B69C5">
        <w:rPr>
          <w:rFonts w:ascii="Times New Roman" w:hAnsi="Times New Roman" w:cs="Times New Roman"/>
          <w:sz w:val="24"/>
          <w:szCs w:val="24"/>
        </w:rPr>
        <w:t xml:space="preserve"> were used to identify the impact on enrollment decision</w:t>
      </w:r>
      <w:r>
        <w:rPr>
          <w:rFonts w:ascii="Times New Roman" w:hAnsi="Times New Roman" w:cs="Times New Roman"/>
          <w:sz w:val="24"/>
          <w:szCs w:val="24"/>
        </w:rPr>
        <w:t>.</w:t>
      </w:r>
      <w:r w:rsidR="00847F02">
        <w:rPr>
          <w:rFonts w:ascii="Times New Roman" w:hAnsi="Times New Roman" w:cs="Times New Roman"/>
          <w:sz w:val="24"/>
          <w:szCs w:val="24"/>
        </w:rPr>
        <w:t xml:space="preserve"> </w:t>
      </w:r>
    </w:p>
    <w:p w14:paraId="53DEC330" w14:textId="23DC8F7A" w:rsidR="00E70F68" w:rsidRDefault="00F03378" w:rsidP="00BA4A2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the men</w:t>
      </w:r>
      <w:r w:rsidR="00847F02">
        <w:rPr>
          <w:rFonts w:ascii="Times New Roman" w:hAnsi="Times New Roman" w:cs="Times New Roman"/>
          <w:sz w:val="24"/>
          <w:szCs w:val="24"/>
        </w:rPr>
        <w:t>-</w:t>
      </w:r>
      <w:r>
        <w:rPr>
          <w:rFonts w:ascii="Times New Roman" w:hAnsi="Times New Roman" w:cs="Times New Roman"/>
          <w:sz w:val="24"/>
          <w:szCs w:val="24"/>
        </w:rPr>
        <w:t xml:space="preserve">only logistic regression model, </w:t>
      </w:r>
      <w:r w:rsidR="002D295C">
        <w:rPr>
          <w:rFonts w:ascii="Times New Roman" w:hAnsi="Times New Roman" w:cs="Times New Roman"/>
          <w:i/>
          <w:sz w:val="24"/>
          <w:szCs w:val="24"/>
        </w:rPr>
        <w:t>n</w:t>
      </w:r>
      <w:r>
        <w:rPr>
          <w:rFonts w:ascii="Times New Roman" w:hAnsi="Times New Roman" w:cs="Times New Roman"/>
          <w:i/>
          <w:sz w:val="24"/>
          <w:szCs w:val="24"/>
        </w:rPr>
        <w:t xml:space="preserve"> = </w:t>
      </w:r>
      <w:r w:rsidRPr="00BA4A2D">
        <w:rPr>
          <w:rFonts w:ascii="Times New Roman" w:hAnsi="Times New Roman" w:cs="Times New Roman"/>
          <w:iCs/>
          <w:sz w:val="24"/>
          <w:szCs w:val="24"/>
        </w:rPr>
        <w:t>61</w:t>
      </w:r>
      <w:r w:rsidR="003E061F" w:rsidRPr="00BA4A2D">
        <w:rPr>
          <w:rFonts w:ascii="Times New Roman" w:hAnsi="Times New Roman" w:cs="Times New Roman"/>
          <w:iCs/>
          <w:sz w:val="24"/>
          <w:szCs w:val="24"/>
        </w:rPr>
        <w:t>,</w:t>
      </w:r>
      <w:r w:rsidR="003E061F">
        <w:rPr>
          <w:rFonts w:ascii="Times New Roman" w:hAnsi="Times New Roman" w:cs="Times New Roman"/>
          <w:sz w:val="24"/>
          <w:szCs w:val="24"/>
        </w:rPr>
        <w:t xml:space="preserve"> the model was significant, </w:t>
      </w:r>
      <w:r w:rsidR="003F32D8" w:rsidRPr="00F50919">
        <w:rPr>
          <w:rFonts w:ascii="Times New Roman" w:hAnsi="Times New Roman" w:cs="Times New Roman"/>
          <w:iCs/>
          <w:sz w:val="24"/>
          <w:szCs w:val="24"/>
        </w:rPr>
        <w:t>χ</w:t>
      </w:r>
      <w:r w:rsidR="003E061F" w:rsidRPr="00BA4A2D">
        <w:rPr>
          <w:rFonts w:ascii="Times New Roman" w:hAnsi="Times New Roman" w:cs="Times New Roman"/>
          <w:iCs/>
          <w:sz w:val="24"/>
          <w:szCs w:val="24"/>
          <w:vertAlign w:val="superscript"/>
        </w:rPr>
        <w:t>2</w:t>
      </w:r>
      <w:r w:rsidR="003E061F" w:rsidRPr="004F2C7F">
        <w:rPr>
          <w:rFonts w:ascii="Times New Roman" w:hAnsi="Times New Roman" w:cs="Times New Roman"/>
          <w:iCs/>
          <w:sz w:val="24"/>
          <w:szCs w:val="24"/>
        </w:rPr>
        <w:t>(6)</w:t>
      </w:r>
      <w:r w:rsidR="003E061F" w:rsidRPr="00847F02">
        <w:rPr>
          <w:rFonts w:ascii="Times New Roman" w:hAnsi="Times New Roman" w:cs="Times New Roman"/>
          <w:iCs/>
          <w:sz w:val="24"/>
          <w:szCs w:val="24"/>
        </w:rPr>
        <w:t xml:space="preserve"> </w:t>
      </w:r>
      <w:r w:rsidR="003E061F" w:rsidRPr="004F2C7F">
        <w:rPr>
          <w:rFonts w:ascii="Times New Roman" w:hAnsi="Times New Roman" w:cs="Times New Roman"/>
          <w:iCs/>
          <w:sz w:val="24"/>
          <w:szCs w:val="24"/>
        </w:rPr>
        <w:t>=</w:t>
      </w:r>
      <w:r w:rsidR="003E061F">
        <w:rPr>
          <w:rFonts w:ascii="Times New Roman" w:hAnsi="Times New Roman" w:cs="Times New Roman"/>
          <w:i/>
          <w:sz w:val="24"/>
          <w:szCs w:val="24"/>
        </w:rPr>
        <w:t xml:space="preserve"> </w:t>
      </w:r>
      <w:r w:rsidR="003E061F" w:rsidRPr="004F2C7F">
        <w:rPr>
          <w:rFonts w:ascii="Times New Roman" w:hAnsi="Times New Roman" w:cs="Times New Roman"/>
          <w:iCs/>
          <w:sz w:val="24"/>
          <w:szCs w:val="24"/>
        </w:rPr>
        <w:t>17.143</w:t>
      </w:r>
      <w:r w:rsidR="003E061F" w:rsidRPr="00C36928">
        <w:rPr>
          <w:rFonts w:ascii="Times New Roman" w:hAnsi="Times New Roman" w:cs="Times New Roman"/>
          <w:i/>
          <w:sz w:val="24"/>
          <w:szCs w:val="24"/>
        </w:rPr>
        <w:t xml:space="preserve">, p </w:t>
      </w:r>
      <w:r w:rsidR="003E061F">
        <w:rPr>
          <w:rFonts w:ascii="Times New Roman" w:hAnsi="Times New Roman" w:cs="Times New Roman"/>
          <w:i/>
          <w:sz w:val="24"/>
          <w:szCs w:val="24"/>
        </w:rPr>
        <w:t xml:space="preserve">= </w:t>
      </w:r>
      <w:r w:rsidR="003E061F" w:rsidRPr="004F2C7F">
        <w:rPr>
          <w:rFonts w:ascii="Times New Roman" w:hAnsi="Times New Roman" w:cs="Times New Roman"/>
          <w:iCs/>
          <w:sz w:val="24"/>
          <w:szCs w:val="24"/>
        </w:rPr>
        <w:t>.009</w:t>
      </w:r>
      <w:r w:rsidR="003E061F">
        <w:rPr>
          <w:rFonts w:ascii="Times New Roman" w:hAnsi="Times New Roman" w:cs="Times New Roman"/>
          <w:i/>
          <w:sz w:val="24"/>
          <w:szCs w:val="24"/>
        </w:rPr>
        <w:t xml:space="preserve"> </w:t>
      </w:r>
      <w:r w:rsidR="003E061F">
        <w:rPr>
          <w:rFonts w:ascii="Times New Roman" w:hAnsi="Times New Roman" w:cs="Times New Roman"/>
          <w:sz w:val="24"/>
          <w:szCs w:val="24"/>
        </w:rPr>
        <w:t>(</w:t>
      </w:r>
      <w:r w:rsidR="00A113D5">
        <w:rPr>
          <w:rFonts w:ascii="Times New Roman" w:hAnsi="Times New Roman" w:cs="Times New Roman"/>
          <w:sz w:val="24"/>
          <w:szCs w:val="24"/>
        </w:rPr>
        <w:t xml:space="preserve">Table F1, </w:t>
      </w:r>
      <w:r w:rsidR="00995FF2">
        <w:rPr>
          <w:rFonts w:ascii="Times New Roman" w:hAnsi="Times New Roman" w:cs="Times New Roman"/>
          <w:sz w:val="24"/>
          <w:szCs w:val="24"/>
        </w:rPr>
        <w:t>Appendix F</w:t>
      </w:r>
      <w:r w:rsidR="003E061F">
        <w:rPr>
          <w:rFonts w:ascii="Times New Roman" w:hAnsi="Times New Roman" w:cs="Times New Roman"/>
          <w:sz w:val="24"/>
          <w:szCs w:val="24"/>
        </w:rPr>
        <w:t>). The model explained 33.8% of the difference in enrollment decision and correctly classified 75.4% of cases (</w:t>
      </w:r>
      <w:r w:rsidR="00A113D5">
        <w:rPr>
          <w:rFonts w:ascii="Times New Roman" w:hAnsi="Times New Roman" w:cs="Times New Roman"/>
          <w:sz w:val="24"/>
          <w:szCs w:val="24"/>
        </w:rPr>
        <w:t xml:space="preserve">Tables F2 and F3, </w:t>
      </w:r>
      <w:r w:rsidR="00995FF2">
        <w:rPr>
          <w:rFonts w:ascii="Times New Roman" w:hAnsi="Times New Roman" w:cs="Times New Roman"/>
          <w:sz w:val="24"/>
          <w:szCs w:val="24"/>
        </w:rPr>
        <w:t>Appendix F</w:t>
      </w:r>
      <w:r w:rsidR="003E061F">
        <w:rPr>
          <w:rFonts w:ascii="Times New Roman" w:hAnsi="Times New Roman" w:cs="Times New Roman"/>
          <w:sz w:val="24"/>
          <w:szCs w:val="24"/>
        </w:rPr>
        <w:t xml:space="preserve">). However, </w:t>
      </w:r>
      <w:r>
        <w:rPr>
          <w:rFonts w:ascii="Times New Roman" w:hAnsi="Times New Roman" w:cs="Times New Roman"/>
          <w:sz w:val="24"/>
          <w:szCs w:val="24"/>
        </w:rPr>
        <w:t xml:space="preserve">none of the </w:t>
      </w:r>
      <w:r w:rsidR="00EB4081">
        <w:rPr>
          <w:rFonts w:ascii="Times New Roman" w:hAnsi="Times New Roman" w:cs="Times New Roman"/>
          <w:sz w:val="24"/>
          <w:szCs w:val="24"/>
        </w:rPr>
        <w:t>four factors of self</w:t>
      </w:r>
      <w:r w:rsidR="00526C6C">
        <w:rPr>
          <w:rFonts w:ascii="Times New Roman" w:hAnsi="Times New Roman" w:cs="Times New Roman"/>
          <w:sz w:val="24"/>
          <w:szCs w:val="24"/>
        </w:rPr>
        <w:t>-</w:t>
      </w:r>
      <w:r w:rsidR="00A10EB5">
        <w:rPr>
          <w:rFonts w:ascii="Times New Roman" w:hAnsi="Times New Roman" w:cs="Times New Roman"/>
          <w:sz w:val="24"/>
          <w:szCs w:val="24"/>
        </w:rPr>
        <w:t>efficacy</w:t>
      </w:r>
      <w:r w:rsidR="00EB4081">
        <w:rPr>
          <w:rFonts w:ascii="Times New Roman" w:hAnsi="Times New Roman" w:cs="Times New Roman"/>
          <w:sz w:val="24"/>
          <w:szCs w:val="24"/>
        </w:rPr>
        <w:t xml:space="preserve"> were</w:t>
      </w:r>
      <w:r w:rsidR="003E061F">
        <w:rPr>
          <w:rFonts w:ascii="Times New Roman" w:hAnsi="Times New Roman" w:cs="Times New Roman"/>
          <w:sz w:val="24"/>
          <w:szCs w:val="24"/>
        </w:rPr>
        <w:t xml:space="preserve"> </w:t>
      </w:r>
      <w:r w:rsidR="002F08EE">
        <w:rPr>
          <w:rFonts w:ascii="Times New Roman" w:hAnsi="Times New Roman" w:cs="Times New Roman"/>
          <w:sz w:val="24"/>
          <w:szCs w:val="24"/>
        </w:rPr>
        <w:t xml:space="preserve">statistically </w:t>
      </w:r>
      <w:r w:rsidR="003E061F">
        <w:rPr>
          <w:rFonts w:ascii="Times New Roman" w:hAnsi="Times New Roman" w:cs="Times New Roman"/>
          <w:sz w:val="24"/>
          <w:szCs w:val="24"/>
        </w:rPr>
        <w:t xml:space="preserve">significant (Table </w:t>
      </w:r>
      <w:r w:rsidR="002A2CFE">
        <w:rPr>
          <w:rFonts w:ascii="Times New Roman" w:hAnsi="Times New Roman" w:cs="Times New Roman"/>
          <w:sz w:val="24"/>
          <w:szCs w:val="24"/>
        </w:rPr>
        <w:t>7</w:t>
      </w:r>
      <w:r w:rsidR="003E061F">
        <w:rPr>
          <w:rFonts w:ascii="Times New Roman" w:hAnsi="Times New Roman" w:cs="Times New Roman"/>
          <w:sz w:val="24"/>
          <w:szCs w:val="24"/>
        </w:rPr>
        <w:t>).</w:t>
      </w:r>
    </w:p>
    <w:p w14:paraId="439B57D9" w14:textId="0DFBD05F" w:rsidR="00E24924" w:rsidRPr="004F2C7F" w:rsidRDefault="00E24924" w:rsidP="00BA4A2D">
      <w:pPr>
        <w:widowControl w:val="0"/>
        <w:spacing w:after="0" w:line="480" w:lineRule="auto"/>
        <w:rPr>
          <w:rFonts w:ascii="Times New Roman" w:hAnsi="Times New Roman" w:cs="Times New Roman"/>
          <w:b/>
          <w:bCs/>
          <w:sz w:val="24"/>
          <w:szCs w:val="24"/>
        </w:rPr>
      </w:pPr>
      <w:r w:rsidRPr="004F2C7F">
        <w:rPr>
          <w:rFonts w:ascii="Times New Roman" w:hAnsi="Times New Roman" w:cs="Times New Roman"/>
          <w:b/>
          <w:bCs/>
          <w:sz w:val="24"/>
          <w:szCs w:val="24"/>
        </w:rPr>
        <w:t xml:space="preserve">Table </w:t>
      </w:r>
      <w:r w:rsidR="002A2CFE" w:rsidRPr="004F2C7F">
        <w:rPr>
          <w:rFonts w:ascii="Times New Roman" w:hAnsi="Times New Roman" w:cs="Times New Roman"/>
          <w:b/>
          <w:bCs/>
          <w:sz w:val="24"/>
          <w:szCs w:val="24"/>
        </w:rPr>
        <w:t>7</w:t>
      </w:r>
    </w:p>
    <w:p w14:paraId="5B247CE9" w14:textId="64DA736B" w:rsidR="00956952" w:rsidRPr="00EB2B4A" w:rsidRDefault="00A10EB5" w:rsidP="00BA4A2D">
      <w:pPr>
        <w:widowControl w:val="0"/>
        <w:spacing w:after="0" w:line="480" w:lineRule="auto"/>
        <w:rPr>
          <w:rFonts w:ascii="Times New Roman" w:hAnsi="Times New Roman" w:cs="Times New Roman"/>
          <w:i/>
          <w:sz w:val="24"/>
          <w:szCs w:val="24"/>
        </w:rPr>
      </w:pPr>
      <w:r>
        <w:rPr>
          <w:rFonts w:ascii="Times New Roman" w:hAnsi="Times New Roman" w:cs="Times New Roman"/>
          <w:i/>
          <w:sz w:val="24"/>
          <w:szCs w:val="24"/>
        </w:rPr>
        <w:t>Coefficients</w:t>
      </w:r>
      <w:r w:rsidR="00956952">
        <w:rPr>
          <w:rFonts w:ascii="Times New Roman" w:hAnsi="Times New Roman" w:cs="Times New Roman"/>
          <w:i/>
          <w:sz w:val="24"/>
          <w:szCs w:val="24"/>
        </w:rPr>
        <w:t xml:space="preserve"> and Significance of Predictors in </w:t>
      </w:r>
      <w:r w:rsidR="008159B8">
        <w:rPr>
          <w:rFonts w:ascii="Times New Roman" w:hAnsi="Times New Roman" w:cs="Times New Roman"/>
          <w:i/>
          <w:sz w:val="24"/>
          <w:szCs w:val="24"/>
        </w:rPr>
        <w:t xml:space="preserve">Second-year </w:t>
      </w:r>
      <w:r w:rsidR="00FE1D16">
        <w:rPr>
          <w:rFonts w:ascii="Times New Roman" w:hAnsi="Times New Roman" w:cs="Times New Roman"/>
          <w:i/>
          <w:sz w:val="24"/>
          <w:szCs w:val="24"/>
        </w:rPr>
        <w:t>P</w:t>
      </w:r>
      <w:r w:rsidR="008159B8">
        <w:rPr>
          <w:rFonts w:ascii="Times New Roman" w:hAnsi="Times New Roman" w:cs="Times New Roman"/>
          <w:i/>
          <w:sz w:val="24"/>
          <w:szCs w:val="24"/>
        </w:rPr>
        <w:t>hysics</w:t>
      </w:r>
      <w:r w:rsidR="00956952">
        <w:rPr>
          <w:rFonts w:ascii="Times New Roman" w:hAnsi="Times New Roman" w:cs="Times New Roman"/>
          <w:i/>
          <w:sz w:val="24"/>
          <w:szCs w:val="24"/>
        </w:rPr>
        <w:t xml:space="preserve"> Enrollment</w:t>
      </w:r>
      <w:r w:rsidR="0076098D">
        <w:rPr>
          <w:rFonts w:ascii="Times New Roman" w:hAnsi="Times New Roman" w:cs="Times New Roman"/>
          <w:i/>
          <w:sz w:val="24"/>
          <w:szCs w:val="24"/>
        </w:rPr>
        <w:t xml:space="preserve"> for High School </w:t>
      </w:r>
      <w:r w:rsidR="00A14B0B">
        <w:rPr>
          <w:rFonts w:ascii="Times New Roman" w:hAnsi="Times New Roman" w:cs="Times New Roman"/>
          <w:i/>
          <w:sz w:val="24"/>
          <w:szCs w:val="24"/>
        </w:rPr>
        <w:t>Men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1370"/>
        <w:gridCol w:w="1401"/>
        <w:gridCol w:w="1765"/>
        <w:gridCol w:w="1350"/>
        <w:gridCol w:w="1158"/>
        <w:gridCol w:w="1158"/>
        <w:gridCol w:w="1158"/>
      </w:tblGrid>
      <w:tr w:rsidR="00E24924" w:rsidRPr="003E061F" w14:paraId="03FDBFDE" w14:textId="77777777" w:rsidTr="00BA4A2D">
        <w:trPr>
          <w:trHeight w:hRule="exact" w:val="324"/>
        </w:trPr>
        <w:tc>
          <w:tcPr>
            <w:tcW w:w="1370" w:type="dxa"/>
            <w:tcBorders>
              <w:top w:val="single" w:sz="4" w:space="0" w:color="auto"/>
              <w:bottom w:val="single" w:sz="4" w:space="0" w:color="auto"/>
            </w:tcBorders>
          </w:tcPr>
          <w:p w14:paraId="4895EB52" w14:textId="77777777" w:rsidR="00E24924" w:rsidRPr="00BA4A2D" w:rsidRDefault="00E24924" w:rsidP="00BA4A2D">
            <w:pPr>
              <w:widowControl w:val="0"/>
              <w:spacing w:after="0" w:line="240" w:lineRule="auto"/>
              <w:jc w:val="center"/>
              <w:rPr>
                <w:i/>
                <w:iCs/>
              </w:rPr>
            </w:pPr>
            <w:r w:rsidRPr="00BA4A2D">
              <w:rPr>
                <w:i/>
                <w:iCs/>
              </w:rPr>
              <w:t>Variables</w:t>
            </w:r>
          </w:p>
        </w:tc>
        <w:tc>
          <w:tcPr>
            <w:tcW w:w="1401" w:type="dxa"/>
            <w:tcBorders>
              <w:top w:val="single" w:sz="4" w:space="0" w:color="auto"/>
              <w:bottom w:val="single" w:sz="4" w:space="0" w:color="auto"/>
            </w:tcBorders>
          </w:tcPr>
          <w:p w14:paraId="3A7175F7" w14:textId="77777777" w:rsidR="00E24924" w:rsidRPr="005D2117" w:rsidRDefault="00E24924" w:rsidP="00BA4A2D">
            <w:pPr>
              <w:widowControl w:val="0"/>
              <w:spacing w:after="0" w:line="240" w:lineRule="auto"/>
              <w:jc w:val="center"/>
              <w:rPr>
                <w:i/>
                <w:iCs/>
              </w:rPr>
            </w:pPr>
            <w:r w:rsidRPr="005D2117">
              <w:rPr>
                <w:i/>
                <w:iCs/>
              </w:rPr>
              <w:t>B</w:t>
            </w:r>
          </w:p>
        </w:tc>
        <w:tc>
          <w:tcPr>
            <w:tcW w:w="1765" w:type="dxa"/>
            <w:tcBorders>
              <w:top w:val="single" w:sz="4" w:space="0" w:color="auto"/>
              <w:bottom w:val="single" w:sz="4" w:space="0" w:color="auto"/>
            </w:tcBorders>
          </w:tcPr>
          <w:p w14:paraId="2DC76205" w14:textId="77777777" w:rsidR="00E24924" w:rsidRPr="00BA4A2D" w:rsidRDefault="00E24924" w:rsidP="00BA4A2D">
            <w:pPr>
              <w:widowControl w:val="0"/>
              <w:spacing w:after="0" w:line="240" w:lineRule="auto"/>
              <w:jc w:val="center"/>
              <w:rPr>
                <w:i/>
                <w:iCs/>
              </w:rPr>
            </w:pPr>
            <w:r w:rsidRPr="00BA4A2D">
              <w:rPr>
                <w:i/>
                <w:iCs/>
              </w:rPr>
              <w:t>S.E.</w:t>
            </w:r>
          </w:p>
        </w:tc>
        <w:tc>
          <w:tcPr>
            <w:tcW w:w="1350" w:type="dxa"/>
            <w:tcBorders>
              <w:top w:val="single" w:sz="4" w:space="0" w:color="auto"/>
              <w:bottom w:val="single" w:sz="4" w:space="0" w:color="auto"/>
            </w:tcBorders>
          </w:tcPr>
          <w:p w14:paraId="550812C3" w14:textId="77777777" w:rsidR="00E24924" w:rsidRPr="00BA4A2D" w:rsidRDefault="00E24924" w:rsidP="00BA4A2D">
            <w:pPr>
              <w:widowControl w:val="0"/>
              <w:spacing w:after="0" w:line="240" w:lineRule="auto"/>
              <w:jc w:val="center"/>
              <w:rPr>
                <w:i/>
                <w:iCs/>
              </w:rPr>
            </w:pPr>
            <w:r w:rsidRPr="00BA4A2D">
              <w:rPr>
                <w:i/>
                <w:iCs/>
              </w:rPr>
              <w:t>Wald</w:t>
            </w:r>
          </w:p>
        </w:tc>
        <w:tc>
          <w:tcPr>
            <w:tcW w:w="1158" w:type="dxa"/>
            <w:tcBorders>
              <w:top w:val="single" w:sz="4" w:space="0" w:color="auto"/>
              <w:bottom w:val="single" w:sz="4" w:space="0" w:color="auto"/>
            </w:tcBorders>
          </w:tcPr>
          <w:p w14:paraId="31C49E7A" w14:textId="77777777" w:rsidR="00E24924" w:rsidRPr="00BA4A2D" w:rsidRDefault="00E24924" w:rsidP="00BA4A2D">
            <w:pPr>
              <w:widowControl w:val="0"/>
              <w:spacing w:after="0" w:line="240" w:lineRule="auto"/>
              <w:jc w:val="center"/>
              <w:rPr>
                <w:i/>
                <w:iCs/>
              </w:rPr>
            </w:pPr>
            <w:r w:rsidRPr="00BA4A2D">
              <w:rPr>
                <w:i/>
                <w:iCs/>
              </w:rPr>
              <w:t>df</w:t>
            </w:r>
          </w:p>
        </w:tc>
        <w:tc>
          <w:tcPr>
            <w:tcW w:w="1158" w:type="dxa"/>
            <w:tcBorders>
              <w:top w:val="single" w:sz="4" w:space="0" w:color="auto"/>
              <w:bottom w:val="single" w:sz="4" w:space="0" w:color="auto"/>
            </w:tcBorders>
          </w:tcPr>
          <w:p w14:paraId="5F008DC7" w14:textId="77777777" w:rsidR="00E24924" w:rsidRPr="00BA4A2D" w:rsidRDefault="00E24924" w:rsidP="00BA4A2D">
            <w:pPr>
              <w:widowControl w:val="0"/>
              <w:spacing w:after="0" w:line="240" w:lineRule="auto"/>
              <w:jc w:val="center"/>
              <w:rPr>
                <w:i/>
                <w:iCs/>
              </w:rPr>
            </w:pPr>
            <w:r w:rsidRPr="00BA4A2D">
              <w:rPr>
                <w:i/>
                <w:iCs/>
              </w:rPr>
              <w:t>Sig.</w:t>
            </w:r>
          </w:p>
        </w:tc>
        <w:tc>
          <w:tcPr>
            <w:tcW w:w="1158" w:type="dxa"/>
            <w:tcBorders>
              <w:top w:val="single" w:sz="4" w:space="0" w:color="auto"/>
              <w:bottom w:val="single" w:sz="4" w:space="0" w:color="auto"/>
            </w:tcBorders>
          </w:tcPr>
          <w:p w14:paraId="334BF4DE" w14:textId="77777777" w:rsidR="00E24924" w:rsidRPr="00BA4A2D" w:rsidRDefault="00E24924" w:rsidP="00BA4A2D">
            <w:pPr>
              <w:widowControl w:val="0"/>
              <w:spacing w:after="0" w:line="240" w:lineRule="auto"/>
              <w:jc w:val="center"/>
              <w:rPr>
                <w:i/>
                <w:iCs/>
              </w:rPr>
            </w:pPr>
            <w:r w:rsidRPr="00BA4A2D">
              <w:rPr>
                <w:i/>
                <w:iCs/>
              </w:rPr>
              <w:t>Exp(</w:t>
            </w:r>
            <w:r w:rsidRPr="005D2117">
              <w:rPr>
                <w:i/>
                <w:iCs/>
              </w:rPr>
              <w:t>B</w:t>
            </w:r>
            <w:r w:rsidRPr="00BA4A2D">
              <w:rPr>
                <w:i/>
                <w:iCs/>
              </w:rPr>
              <w:t>)</w:t>
            </w:r>
          </w:p>
        </w:tc>
      </w:tr>
      <w:tr w:rsidR="00E24924" w14:paraId="7882E1DA" w14:textId="77777777" w:rsidTr="00BA4A2D">
        <w:trPr>
          <w:trHeight w:hRule="exact" w:val="289"/>
        </w:trPr>
        <w:tc>
          <w:tcPr>
            <w:tcW w:w="1370" w:type="dxa"/>
            <w:tcBorders>
              <w:top w:val="single" w:sz="4" w:space="0" w:color="auto"/>
            </w:tcBorders>
          </w:tcPr>
          <w:p w14:paraId="38B66B9C" w14:textId="504AF5AB" w:rsidR="00E24924" w:rsidRPr="00995FF2" w:rsidRDefault="00E24924" w:rsidP="00BA4A2D">
            <w:pPr>
              <w:widowControl w:val="0"/>
              <w:spacing w:after="0" w:line="240" w:lineRule="auto"/>
              <w:rPr>
                <w:iCs/>
                <w:vertAlign w:val="superscript"/>
              </w:rPr>
            </w:pPr>
            <w:r w:rsidRPr="00995FF2">
              <w:rPr>
                <w:iCs/>
              </w:rPr>
              <w:t>S1G</w:t>
            </w:r>
          </w:p>
        </w:tc>
        <w:tc>
          <w:tcPr>
            <w:tcW w:w="1401" w:type="dxa"/>
            <w:tcBorders>
              <w:top w:val="single" w:sz="4" w:space="0" w:color="auto"/>
            </w:tcBorders>
          </w:tcPr>
          <w:p w14:paraId="494B0FD8" w14:textId="41D00B2F" w:rsidR="00E24924" w:rsidRDefault="00E24924" w:rsidP="00BA4A2D">
            <w:pPr>
              <w:widowControl w:val="0"/>
              <w:spacing w:after="0" w:line="240" w:lineRule="auto"/>
              <w:jc w:val="right"/>
            </w:pPr>
            <w:r>
              <w:t>.301</w:t>
            </w:r>
          </w:p>
        </w:tc>
        <w:tc>
          <w:tcPr>
            <w:tcW w:w="1765" w:type="dxa"/>
            <w:tcBorders>
              <w:top w:val="single" w:sz="4" w:space="0" w:color="auto"/>
            </w:tcBorders>
          </w:tcPr>
          <w:p w14:paraId="5FABB8F1" w14:textId="7DC60F2B" w:rsidR="00E24924" w:rsidRDefault="00E24924" w:rsidP="00BA4A2D">
            <w:pPr>
              <w:widowControl w:val="0"/>
              <w:spacing w:after="0" w:line="240" w:lineRule="auto"/>
              <w:jc w:val="right"/>
            </w:pPr>
            <w:r>
              <w:t>.230</w:t>
            </w:r>
          </w:p>
        </w:tc>
        <w:tc>
          <w:tcPr>
            <w:tcW w:w="1350" w:type="dxa"/>
            <w:tcBorders>
              <w:top w:val="single" w:sz="4" w:space="0" w:color="auto"/>
            </w:tcBorders>
          </w:tcPr>
          <w:p w14:paraId="59E2EFD5" w14:textId="3887943B" w:rsidR="00E24924" w:rsidRDefault="00E24924" w:rsidP="00BA4A2D">
            <w:pPr>
              <w:widowControl w:val="0"/>
              <w:spacing w:after="0" w:line="240" w:lineRule="auto"/>
              <w:jc w:val="right"/>
            </w:pPr>
            <w:r>
              <w:t>1.705</w:t>
            </w:r>
          </w:p>
        </w:tc>
        <w:tc>
          <w:tcPr>
            <w:tcW w:w="1158" w:type="dxa"/>
            <w:tcBorders>
              <w:top w:val="single" w:sz="4" w:space="0" w:color="auto"/>
            </w:tcBorders>
          </w:tcPr>
          <w:p w14:paraId="7217A900" w14:textId="77777777" w:rsidR="00E24924" w:rsidRDefault="00E24924" w:rsidP="00BA4A2D">
            <w:pPr>
              <w:widowControl w:val="0"/>
              <w:spacing w:after="0" w:line="240" w:lineRule="auto"/>
              <w:jc w:val="right"/>
            </w:pPr>
            <w:r>
              <w:t>1</w:t>
            </w:r>
          </w:p>
        </w:tc>
        <w:tc>
          <w:tcPr>
            <w:tcW w:w="1158" w:type="dxa"/>
            <w:tcBorders>
              <w:top w:val="single" w:sz="4" w:space="0" w:color="auto"/>
            </w:tcBorders>
          </w:tcPr>
          <w:p w14:paraId="10BB510D" w14:textId="682D94D0" w:rsidR="00E24924" w:rsidRDefault="00E24924" w:rsidP="00BA4A2D">
            <w:pPr>
              <w:widowControl w:val="0"/>
              <w:spacing w:after="0" w:line="240" w:lineRule="auto"/>
              <w:jc w:val="right"/>
            </w:pPr>
            <w:r>
              <w:t>.192</w:t>
            </w:r>
          </w:p>
        </w:tc>
        <w:tc>
          <w:tcPr>
            <w:tcW w:w="1158" w:type="dxa"/>
            <w:tcBorders>
              <w:top w:val="single" w:sz="4" w:space="0" w:color="auto"/>
            </w:tcBorders>
          </w:tcPr>
          <w:p w14:paraId="7D21107F" w14:textId="6F642ADF" w:rsidR="00E24924" w:rsidRDefault="00E24924" w:rsidP="00BA4A2D">
            <w:pPr>
              <w:widowControl w:val="0"/>
              <w:spacing w:after="0" w:line="240" w:lineRule="auto"/>
              <w:jc w:val="right"/>
            </w:pPr>
            <w:r>
              <w:t>1.351</w:t>
            </w:r>
          </w:p>
        </w:tc>
      </w:tr>
      <w:tr w:rsidR="00E24924" w14:paraId="05675578" w14:textId="77777777" w:rsidTr="00BA4A2D">
        <w:trPr>
          <w:trHeight w:hRule="exact" w:val="252"/>
        </w:trPr>
        <w:tc>
          <w:tcPr>
            <w:tcW w:w="1370" w:type="dxa"/>
          </w:tcPr>
          <w:p w14:paraId="501F6301" w14:textId="367B1E43" w:rsidR="00E24924" w:rsidRPr="00995FF2" w:rsidRDefault="00E24924" w:rsidP="00BA4A2D">
            <w:pPr>
              <w:widowControl w:val="0"/>
              <w:spacing w:after="0" w:line="240" w:lineRule="auto"/>
              <w:rPr>
                <w:iCs/>
                <w:vertAlign w:val="superscript"/>
              </w:rPr>
            </w:pPr>
            <w:r w:rsidRPr="00995FF2">
              <w:rPr>
                <w:iCs/>
              </w:rPr>
              <w:t>PKG</w:t>
            </w:r>
          </w:p>
        </w:tc>
        <w:tc>
          <w:tcPr>
            <w:tcW w:w="1401" w:type="dxa"/>
          </w:tcPr>
          <w:p w14:paraId="5F25EC1D" w14:textId="11D1148F" w:rsidR="00E24924" w:rsidRDefault="00E24924" w:rsidP="00BA4A2D">
            <w:pPr>
              <w:widowControl w:val="0"/>
              <w:spacing w:after="0" w:line="240" w:lineRule="auto"/>
              <w:jc w:val="right"/>
            </w:pPr>
            <w:r>
              <w:t>-.034</w:t>
            </w:r>
          </w:p>
        </w:tc>
        <w:tc>
          <w:tcPr>
            <w:tcW w:w="1765" w:type="dxa"/>
          </w:tcPr>
          <w:p w14:paraId="4CDFEAB4" w14:textId="1E5B95B0" w:rsidR="00E24924" w:rsidRDefault="00E24924" w:rsidP="00BA4A2D">
            <w:pPr>
              <w:widowControl w:val="0"/>
              <w:spacing w:after="0" w:line="240" w:lineRule="auto"/>
              <w:jc w:val="right"/>
            </w:pPr>
            <w:r>
              <w:t>.082</w:t>
            </w:r>
          </w:p>
        </w:tc>
        <w:tc>
          <w:tcPr>
            <w:tcW w:w="1350" w:type="dxa"/>
          </w:tcPr>
          <w:p w14:paraId="453BD0E2" w14:textId="2F8D3400" w:rsidR="00E24924" w:rsidRDefault="00E24924" w:rsidP="00BA4A2D">
            <w:pPr>
              <w:widowControl w:val="0"/>
              <w:spacing w:after="0" w:line="240" w:lineRule="auto"/>
              <w:jc w:val="right"/>
            </w:pPr>
            <w:r>
              <w:t>.171</w:t>
            </w:r>
          </w:p>
        </w:tc>
        <w:tc>
          <w:tcPr>
            <w:tcW w:w="1158" w:type="dxa"/>
          </w:tcPr>
          <w:p w14:paraId="22C9519C" w14:textId="77777777" w:rsidR="00E24924" w:rsidRDefault="00E24924" w:rsidP="00BA4A2D">
            <w:pPr>
              <w:widowControl w:val="0"/>
              <w:spacing w:after="0" w:line="240" w:lineRule="auto"/>
              <w:jc w:val="right"/>
            </w:pPr>
            <w:r>
              <w:t>1</w:t>
            </w:r>
          </w:p>
        </w:tc>
        <w:tc>
          <w:tcPr>
            <w:tcW w:w="1158" w:type="dxa"/>
          </w:tcPr>
          <w:p w14:paraId="204C898B" w14:textId="3C9FFF3A" w:rsidR="00E24924" w:rsidRDefault="00E24924" w:rsidP="00BA4A2D">
            <w:pPr>
              <w:widowControl w:val="0"/>
              <w:spacing w:after="0" w:line="240" w:lineRule="auto"/>
              <w:jc w:val="right"/>
            </w:pPr>
            <w:r>
              <w:t>.680</w:t>
            </w:r>
          </w:p>
        </w:tc>
        <w:tc>
          <w:tcPr>
            <w:tcW w:w="1158" w:type="dxa"/>
          </w:tcPr>
          <w:p w14:paraId="334551FE" w14:textId="0C615501" w:rsidR="00E24924" w:rsidRDefault="00E24924" w:rsidP="00BA4A2D">
            <w:pPr>
              <w:widowControl w:val="0"/>
              <w:spacing w:after="0" w:line="240" w:lineRule="auto"/>
              <w:jc w:val="right"/>
            </w:pPr>
            <w:r>
              <w:t>.967</w:t>
            </w:r>
          </w:p>
        </w:tc>
      </w:tr>
      <w:tr w:rsidR="00E24924" w14:paraId="037FEAC1" w14:textId="77777777" w:rsidTr="00BA4A2D">
        <w:trPr>
          <w:trHeight w:hRule="exact" w:val="279"/>
        </w:trPr>
        <w:tc>
          <w:tcPr>
            <w:tcW w:w="1370" w:type="dxa"/>
          </w:tcPr>
          <w:p w14:paraId="32350944" w14:textId="34BF27A9" w:rsidR="00E24924" w:rsidRPr="00995FF2" w:rsidRDefault="00E24924" w:rsidP="00BA4A2D">
            <w:pPr>
              <w:widowControl w:val="0"/>
              <w:spacing w:after="0" w:line="240" w:lineRule="auto"/>
              <w:rPr>
                <w:iCs/>
                <w:vertAlign w:val="superscript"/>
              </w:rPr>
            </w:pPr>
            <w:r w:rsidRPr="00995FF2">
              <w:rPr>
                <w:iCs/>
              </w:rPr>
              <w:t>ME</w:t>
            </w:r>
          </w:p>
        </w:tc>
        <w:tc>
          <w:tcPr>
            <w:tcW w:w="1401" w:type="dxa"/>
          </w:tcPr>
          <w:p w14:paraId="37B146C7" w14:textId="79E1DC12" w:rsidR="00E24924" w:rsidRDefault="00E24924" w:rsidP="00BA4A2D">
            <w:pPr>
              <w:widowControl w:val="0"/>
              <w:spacing w:after="0" w:line="240" w:lineRule="auto"/>
              <w:jc w:val="right"/>
            </w:pPr>
            <w:r>
              <w:t>.913</w:t>
            </w:r>
          </w:p>
        </w:tc>
        <w:tc>
          <w:tcPr>
            <w:tcW w:w="1765" w:type="dxa"/>
          </w:tcPr>
          <w:p w14:paraId="26F5084D" w14:textId="465D08C8" w:rsidR="00E24924" w:rsidRDefault="00E24924" w:rsidP="00BA4A2D">
            <w:pPr>
              <w:widowControl w:val="0"/>
              <w:spacing w:after="0" w:line="240" w:lineRule="auto"/>
              <w:jc w:val="right"/>
            </w:pPr>
            <w:r>
              <w:t>1.101</w:t>
            </w:r>
          </w:p>
        </w:tc>
        <w:tc>
          <w:tcPr>
            <w:tcW w:w="1350" w:type="dxa"/>
          </w:tcPr>
          <w:p w14:paraId="214C3ACE" w14:textId="078A539A" w:rsidR="00E24924" w:rsidRDefault="00E24924" w:rsidP="00BA4A2D">
            <w:pPr>
              <w:widowControl w:val="0"/>
              <w:spacing w:after="0" w:line="240" w:lineRule="auto"/>
              <w:jc w:val="right"/>
            </w:pPr>
            <w:r>
              <w:t>.688</w:t>
            </w:r>
          </w:p>
        </w:tc>
        <w:tc>
          <w:tcPr>
            <w:tcW w:w="1158" w:type="dxa"/>
          </w:tcPr>
          <w:p w14:paraId="0478B998" w14:textId="77777777" w:rsidR="00E24924" w:rsidRDefault="00E24924" w:rsidP="00BA4A2D">
            <w:pPr>
              <w:widowControl w:val="0"/>
              <w:spacing w:after="0" w:line="240" w:lineRule="auto"/>
              <w:jc w:val="right"/>
            </w:pPr>
            <w:r>
              <w:t>1</w:t>
            </w:r>
          </w:p>
        </w:tc>
        <w:tc>
          <w:tcPr>
            <w:tcW w:w="1158" w:type="dxa"/>
          </w:tcPr>
          <w:p w14:paraId="2674BE02" w14:textId="5EBADB0F" w:rsidR="00E24924" w:rsidRDefault="00E24924" w:rsidP="00BA4A2D">
            <w:pPr>
              <w:widowControl w:val="0"/>
              <w:spacing w:after="0" w:line="240" w:lineRule="auto"/>
              <w:jc w:val="right"/>
            </w:pPr>
            <w:r>
              <w:t>.407</w:t>
            </w:r>
          </w:p>
        </w:tc>
        <w:tc>
          <w:tcPr>
            <w:tcW w:w="1158" w:type="dxa"/>
          </w:tcPr>
          <w:p w14:paraId="67AA18A2" w14:textId="6DF5253E" w:rsidR="00E24924" w:rsidRDefault="00E24924" w:rsidP="00BA4A2D">
            <w:pPr>
              <w:widowControl w:val="0"/>
              <w:spacing w:after="0" w:line="240" w:lineRule="auto"/>
              <w:jc w:val="right"/>
            </w:pPr>
            <w:r>
              <w:t>2.492</w:t>
            </w:r>
          </w:p>
        </w:tc>
      </w:tr>
      <w:tr w:rsidR="00E24924" w14:paraId="3444B905" w14:textId="77777777" w:rsidTr="00BA4A2D">
        <w:trPr>
          <w:trHeight w:hRule="exact" w:val="261"/>
        </w:trPr>
        <w:tc>
          <w:tcPr>
            <w:tcW w:w="1370" w:type="dxa"/>
          </w:tcPr>
          <w:p w14:paraId="5D5D90CE" w14:textId="64896519" w:rsidR="00E24924" w:rsidRPr="00995FF2" w:rsidRDefault="00E24924" w:rsidP="00BA4A2D">
            <w:pPr>
              <w:widowControl w:val="0"/>
              <w:spacing w:after="0" w:line="240" w:lineRule="auto"/>
              <w:rPr>
                <w:iCs/>
                <w:vertAlign w:val="superscript"/>
              </w:rPr>
            </w:pPr>
            <w:r w:rsidRPr="00995FF2">
              <w:rPr>
                <w:iCs/>
              </w:rPr>
              <w:t>VL</w:t>
            </w:r>
          </w:p>
        </w:tc>
        <w:tc>
          <w:tcPr>
            <w:tcW w:w="1401" w:type="dxa"/>
          </w:tcPr>
          <w:p w14:paraId="69890C7E" w14:textId="4B7B8887" w:rsidR="00E24924" w:rsidRDefault="00E24924" w:rsidP="00BA4A2D">
            <w:pPr>
              <w:widowControl w:val="0"/>
              <w:spacing w:after="0" w:line="240" w:lineRule="auto"/>
              <w:jc w:val="right"/>
            </w:pPr>
            <w:r>
              <w:t>.514</w:t>
            </w:r>
          </w:p>
        </w:tc>
        <w:tc>
          <w:tcPr>
            <w:tcW w:w="1765" w:type="dxa"/>
          </w:tcPr>
          <w:p w14:paraId="49B13FEC" w14:textId="2259654B" w:rsidR="00E24924" w:rsidRDefault="00E24924" w:rsidP="00BA4A2D">
            <w:pPr>
              <w:widowControl w:val="0"/>
              <w:spacing w:after="0" w:line="240" w:lineRule="auto"/>
              <w:jc w:val="right"/>
            </w:pPr>
            <w:r>
              <w:t>1.093</w:t>
            </w:r>
          </w:p>
        </w:tc>
        <w:tc>
          <w:tcPr>
            <w:tcW w:w="1350" w:type="dxa"/>
          </w:tcPr>
          <w:p w14:paraId="2FEE2E22" w14:textId="3F106E37" w:rsidR="00E24924" w:rsidRDefault="00E24924" w:rsidP="00BA4A2D">
            <w:pPr>
              <w:widowControl w:val="0"/>
              <w:spacing w:after="0" w:line="240" w:lineRule="auto"/>
              <w:jc w:val="right"/>
            </w:pPr>
            <w:r>
              <w:t>.221</w:t>
            </w:r>
          </w:p>
        </w:tc>
        <w:tc>
          <w:tcPr>
            <w:tcW w:w="1158" w:type="dxa"/>
          </w:tcPr>
          <w:p w14:paraId="5F6C8952" w14:textId="77777777" w:rsidR="00E24924" w:rsidRDefault="00E24924" w:rsidP="00BA4A2D">
            <w:pPr>
              <w:widowControl w:val="0"/>
              <w:spacing w:after="0" w:line="240" w:lineRule="auto"/>
              <w:jc w:val="right"/>
            </w:pPr>
            <w:r>
              <w:t>1</w:t>
            </w:r>
          </w:p>
        </w:tc>
        <w:tc>
          <w:tcPr>
            <w:tcW w:w="1158" w:type="dxa"/>
          </w:tcPr>
          <w:p w14:paraId="61DCE6C1" w14:textId="426C196B" w:rsidR="00E24924" w:rsidRDefault="00E24924" w:rsidP="00BA4A2D">
            <w:pPr>
              <w:widowControl w:val="0"/>
              <w:spacing w:after="0" w:line="240" w:lineRule="auto"/>
              <w:jc w:val="right"/>
            </w:pPr>
            <w:r>
              <w:t>.638</w:t>
            </w:r>
          </w:p>
        </w:tc>
        <w:tc>
          <w:tcPr>
            <w:tcW w:w="1158" w:type="dxa"/>
          </w:tcPr>
          <w:p w14:paraId="728D5D64" w14:textId="64C3C5BF" w:rsidR="00E24924" w:rsidRDefault="00E24924" w:rsidP="00BA4A2D">
            <w:pPr>
              <w:widowControl w:val="0"/>
              <w:spacing w:after="0" w:line="240" w:lineRule="auto"/>
              <w:jc w:val="right"/>
            </w:pPr>
            <w:r>
              <w:t>1.672</w:t>
            </w:r>
          </w:p>
        </w:tc>
      </w:tr>
      <w:tr w:rsidR="00E24924" w14:paraId="13A3D6B9" w14:textId="77777777" w:rsidTr="00BA4A2D">
        <w:trPr>
          <w:trHeight w:hRule="exact" w:val="279"/>
        </w:trPr>
        <w:tc>
          <w:tcPr>
            <w:tcW w:w="1370" w:type="dxa"/>
          </w:tcPr>
          <w:p w14:paraId="4B7AB9AD" w14:textId="28580A9E" w:rsidR="00E24924" w:rsidRPr="00995FF2" w:rsidRDefault="00E24924" w:rsidP="00BA4A2D">
            <w:pPr>
              <w:widowControl w:val="0"/>
              <w:spacing w:after="0" w:line="240" w:lineRule="auto"/>
              <w:rPr>
                <w:iCs/>
                <w:vertAlign w:val="superscript"/>
              </w:rPr>
            </w:pPr>
            <w:r w:rsidRPr="00995FF2">
              <w:rPr>
                <w:iCs/>
              </w:rPr>
              <w:t>SP</w:t>
            </w:r>
          </w:p>
        </w:tc>
        <w:tc>
          <w:tcPr>
            <w:tcW w:w="1401" w:type="dxa"/>
          </w:tcPr>
          <w:p w14:paraId="3E31F8EA" w14:textId="5C9B66D8" w:rsidR="00E24924" w:rsidRDefault="00E24924" w:rsidP="00BA4A2D">
            <w:pPr>
              <w:widowControl w:val="0"/>
              <w:spacing w:after="0" w:line="240" w:lineRule="auto"/>
              <w:jc w:val="right"/>
            </w:pPr>
            <w:r>
              <w:t>-.668</w:t>
            </w:r>
          </w:p>
        </w:tc>
        <w:tc>
          <w:tcPr>
            <w:tcW w:w="1765" w:type="dxa"/>
          </w:tcPr>
          <w:p w14:paraId="1E270566" w14:textId="51B99CBE" w:rsidR="00E24924" w:rsidRDefault="00E24924" w:rsidP="00BA4A2D">
            <w:pPr>
              <w:widowControl w:val="0"/>
              <w:spacing w:after="0" w:line="240" w:lineRule="auto"/>
              <w:jc w:val="right"/>
            </w:pPr>
            <w:r>
              <w:t>.930</w:t>
            </w:r>
          </w:p>
        </w:tc>
        <w:tc>
          <w:tcPr>
            <w:tcW w:w="1350" w:type="dxa"/>
          </w:tcPr>
          <w:p w14:paraId="5A06CC1B" w14:textId="54EC7CB0" w:rsidR="00E24924" w:rsidRDefault="00E24924" w:rsidP="00BA4A2D">
            <w:pPr>
              <w:widowControl w:val="0"/>
              <w:spacing w:after="0" w:line="240" w:lineRule="auto"/>
              <w:jc w:val="right"/>
            </w:pPr>
            <w:r>
              <w:t>.516</w:t>
            </w:r>
          </w:p>
        </w:tc>
        <w:tc>
          <w:tcPr>
            <w:tcW w:w="1158" w:type="dxa"/>
          </w:tcPr>
          <w:p w14:paraId="51D10E89" w14:textId="77777777" w:rsidR="00E24924" w:rsidRDefault="00E24924" w:rsidP="00BA4A2D">
            <w:pPr>
              <w:widowControl w:val="0"/>
              <w:spacing w:after="0" w:line="240" w:lineRule="auto"/>
              <w:jc w:val="right"/>
            </w:pPr>
            <w:r>
              <w:t>1</w:t>
            </w:r>
          </w:p>
        </w:tc>
        <w:tc>
          <w:tcPr>
            <w:tcW w:w="1158" w:type="dxa"/>
          </w:tcPr>
          <w:p w14:paraId="5C2778BB" w14:textId="32410780" w:rsidR="00E24924" w:rsidRDefault="00E24924" w:rsidP="00BA4A2D">
            <w:pPr>
              <w:widowControl w:val="0"/>
              <w:spacing w:after="0" w:line="240" w:lineRule="auto"/>
              <w:jc w:val="right"/>
            </w:pPr>
            <w:r>
              <w:t>.473</w:t>
            </w:r>
          </w:p>
        </w:tc>
        <w:tc>
          <w:tcPr>
            <w:tcW w:w="1158" w:type="dxa"/>
          </w:tcPr>
          <w:p w14:paraId="714F8B67" w14:textId="1FE614BA" w:rsidR="00E24924" w:rsidRDefault="00E24924" w:rsidP="00BA4A2D">
            <w:pPr>
              <w:widowControl w:val="0"/>
              <w:spacing w:after="0" w:line="240" w:lineRule="auto"/>
              <w:jc w:val="right"/>
            </w:pPr>
            <w:r>
              <w:t>.513</w:t>
            </w:r>
          </w:p>
        </w:tc>
      </w:tr>
      <w:tr w:rsidR="00E24924" w14:paraId="6882D329" w14:textId="77777777" w:rsidTr="00BA4A2D">
        <w:trPr>
          <w:trHeight w:hRule="exact" w:val="270"/>
        </w:trPr>
        <w:tc>
          <w:tcPr>
            <w:tcW w:w="1370" w:type="dxa"/>
            <w:tcBorders>
              <w:bottom w:val="single" w:sz="4" w:space="0" w:color="auto"/>
            </w:tcBorders>
          </w:tcPr>
          <w:p w14:paraId="0F7124B1" w14:textId="36DCBFFC" w:rsidR="00E24924" w:rsidRPr="00995FF2" w:rsidRDefault="00E24924" w:rsidP="00BA4A2D">
            <w:pPr>
              <w:widowControl w:val="0"/>
              <w:spacing w:after="0" w:line="240" w:lineRule="auto"/>
              <w:rPr>
                <w:iCs/>
                <w:vertAlign w:val="superscript"/>
              </w:rPr>
            </w:pPr>
            <w:r w:rsidRPr="00995FF2">
              <w:rPr>
                <w:iCs/>
              </w:rPr>
              <w:t>PS</w:t>
            </w:r>
          </w:p>
        </w:tc>
        <w:tc>
          <w:tcPr>
            <w:tcW w:w="1401" w:type="dxa"/>
            <w:tcBorders>
              <w:bottom w:val="single" w:sz="4" w:space="0" w:color="auto"/>
            </w:tcBorders>
          </w:tcPr>
          <w:p w14:paraId="02995799" w14:textId="4B43FB4B" w:rsidR="00E24924" w:rsidRDefault="00E24924" w:rsidP="00BA4A2D">
            <w:pPr>
              <w:widowControl w:val="0"/>
              <w:spacing w:after="0" w:line="240" w:lineRule="auto"/>
              <w:jc w:val="right"/>
            </w:pPr>
            <w:r>
              <w:t>.725</w:t>
            </w:r>
          </w:p>
        </w:tc>
        <w:tc>
          <w:tcPr>
            <w:tcW w:w="1765" w:type="dxa"/>
            <w:tcBorders>
              <w:bottom w:val="single" w:sz="4" w:space="0" w:color="auto"/>
            </w:tcBorders>
          </w:tcPr>
          <w:p w14:paraId="4FC22C06" w14:textId="6A28013B" w:rsidR="00E24924" w:rsidRDefault="00E24924" w:rsidP="00BA4A2D">
            <w:pPr>
              <w:widowControl w:val="0"/>
              <w:spacing w:after="0" w:line="240" w:lineRule="auto"/>
              <w:jc w:val="right"/>
            </w:pPr>
            <w:r>
              <w:t>.997</w:t>
            </w:r>
          </w:p>
        </w:tc>
        <w:tc>
          <w:tcPr>
            <w:tcW w:w="1350" w:type="dxa"/>
            <w:tcBorders>
              <w:bottom w:val="single" w:sz="4" w:space="0" w:color="auto"/>
            </w:tcBorders>
          </w:tcPr>
          <w:p w14:paraId="671FB8CC" w14:textId="18487D61" w:rsidR="00E24924" w:rsidRDefault="00E24924" w:rsidP="00BA4A2D">
            <w:pPr>
              <w:widowControl w:val="0"/>
              <w:spacing w:after="0" w:line="240" w:lineRule="auto"/>
              <w:jc w:val="right"/>
            </w:pPr>
            <w:r>
              <w:t>.529</w:t>
            </w:r>
          </w:p>
        </w:tc>
        <w:tc>
          <w:tcPr>
            <w:tcW w:w="1158" w:type="dxa"/>
            <w:tcBorders>
              <w:bottom w:val="single" w:sz="4" w:space="0" w:color="auto"/>
            </w:tcBorders>
          </w:tcPr>
          <w:p w14:paraId="47015A0D" w14:textId="77777777" w:rsidR="00E24924" w:rsidRDefault="00E24924" w:rsidP="00BA4A2D">
            <w:pPr>
              <w:widowControl w:val="0"/>
              <w:spacing w:after="0" w:line="240" w:lineRule="auto"/>
              <w:jc w:val="right"/>
            </w:pPr>
            <w:r>
              <w:t>1</w:t>
            </w:r>
          </w:p>
        </w:tc>
        <w:tc>
          <w:tcPr>
            <w:tcW w:w="1158" w:type="dxa"/>
            <w:tcBorders>
              <w:bottom w:val="single" w:sz="4" w:space="0" w:color="auto"/>
            </w:tcBorders>
          </w:tcPr>
          <w:p w14:paraId="19E88CCD" w14:textId="41BDEB02" w:rsidR="00E24924" w:rsidRDefault="00E24924" w:rsidP="00BA4A2D">
            <w:pPr>
              <w:widowControl w:val="0"/>
              <w:spacing w:after="0" w:line="240" w:lineRule="auto"/>
              <w:jc w:val="right"/>
            </w:pPr>
            <w:r>
              <w:t>.467</w:t>
            </w:r>
          </w:p>
        </w:tc>
        <w:tc>
          <w:tcPr>
            <w:tcW w:w="1158" w:type="dxa"/>
            <w:tcBorders>
              <w:bottom w:val="single" w:sz="4" w:space="0" w:color="auto"/>
            </w:tcBorders>
          </w:tcPr>
          <w:p w14:paraId="096E536B" w14:textId="35A5099D" w:rsidR="00E24924" w:rsidRDefault="00E24924" w:rsidP="00BA4A2D">
            <w:pPr>
              <w:widowControl w:val="0"/>
              <w:spacing w:after="0" w:line="240" w:lineRule="auto"/>
              <w:jc w:val="right"/>
            </w:pPr>
            <w:r>
              <w:t>2.065</w:t>
            </w:r>
          </w:p>
        </w:tc>
      </w:tr>
    </w:tbl>
    <w:p w14:paraId="29A12D9D" w14:textId="2DCE370B" w:rsidR="0056734E" w:rsidRPr="003D60DD" w:rsidRDefault="0056734E" w:rsidP="00BA4A2D">
      <w:pPr>
        <w:widowControl w:val="0"/>
        <w:spacing w:after="0" w:line="480" w:lineRule="auto"/>
        <w:rPr>
          <w:rFonts w:ascii="Times New Roman" w:hAnsi="Times New Roman" w:cs="Times New Roman"/>
          <w:sz w:val="24"/>
          <w:szCs w:val="24"/>
        </w:rPr>
      </w:pPr>
      <w:r w:rsidRPr="00BA4A2D">
        <w:rPr>
          <w:rFonts w:ascii="Times New Roman" w:hAnsi="Times New Roman" w:cs="Times New Roman"/>
          <w:i/>
          <w:sz w:val="24"/>
          <w:szCs w:val="24"/>
        </w:rPr>
        <w:t>Note</w:t>
      </w:r>
      <w:r w:rsidRPr="00BA4A2D">
        <w:rPr>
          <w:rFonts w:ascii="Times New Roman" w:hAnsi="Times New Roman" w:cs="Times New Roman"/>
          <w:sz w:val="24"/>
          <w:szCs w:val="24"/>
        </w:rPr>
        <w:t xml:space="preserve">. S1G = semester one grade, coded from A+ =12 to F = 0. </w:t>
      </w:r>
      <w:r w:rsidR="0076098D" w:rsidRPr="00BA4A2D">
        <w:rPr>
          <w:rFonts w:ascii="Times New Roman" w:hAnsi="Times New Roman" w:cs="Times New Roman"/>
          <w:sz w:val="24"/>
          <w:szCs w:val="24"/>
        </w:rPr>
        <w:t xml:space="preserve">PKG = physics knowledge growth measured on the </w:t>
      </w:r>
      <w:r w:rsidR="005D2117">
        <w:rPr>
          <w:rFonts w:ascii="Times New Roman" w:hAnsi="Times New Roman" w:cs="Times New Roman"/>
          <w:sz w:val="24"/>
          <w:szCs w:val="24"/>
        </w:rPr>
        <w:t>FCI</w:t>
      </w:r>
      <w:r w:rsidR="0076098D" w:rsidRPr="00BA4A2D">
        <w:rPr>
          <w:rFonts w:ascii="Times New Roman" w:hAnsi="Times New Roman" w:cs="Times New Roman"/>
          <w:sz w:val="24"/>
          <w:szCs w:val="24"/>
        </w:rPr>
        <w:t xml:space="preserve"> and scored numerically from 0 to 30, post-course score minus pre-course score. </w:t>
      </w:r>
      <w:r w:rsidR="005D2117" w:rsidRPr="00F50919">
        <w:rPr>
          <w:rFonts w:ascii="Times New Roman" w:hAnsi="Times New Roman" w:cs="Times New Roman"/>
          <w:sz w:val="24"/>
          <w:szCs w:val="24"/>
        </w:rPr>
        <w:t>ME = level of self-efficacy due to mastery experience</w:t>
      </w:r>
      <w:r w:rsidR="005D2117">
        <w:rPr>
          <w:rFonts w:ascii="Times New Roman" w:hAnsi="Times New Roman" w:cs="Times New Roman"/>
          <w:sz w:val="24"/>
          <w:szCs w:val="24"/>
        </w:rPr>
        <w:t>,</w:t>
      </w:r>
      <w:r w:rsidR="005D2117" w:rsidRPr="00F50919">
        <w:rPr>
          <w:rFonts w:ascii="Times New Roman" w:hAnsi="Times New Roman" w:cs="Times New Roman"/>
          <w:sz w:val="24"/>
          <w:szCs w:val="24"/>
        </w:rPr>
        <w:t xml:space="preserve"> VL = level of self-efficacy due to vicarious learning</w:t>
      </w:r>
      <w:r w:rsidR="005D2117">
        <w:rPr>
          <w:rFonts w:ascii="Times New Roman" w:hAnsi="Times New Roman" w:cs="Times New Roman"/>
          <w:sz w:val="24"/>
          <w:szCs w:val="24"/>
        </w:rPr>
        <w:t>,</w:t>
      </w:r>
      <w:r w:rsidR="005D2117" w:rsidRPr="00F50919">
        <w:rPr>
          <w:rFonts w:ascii="Times New Roman" w:hAnsi="Times New Roman" w:cs="Times New Roman"/>
          <w:sz w:val="24"/>
          <w:szCs w:val="24"/>
        </w:rPr>
        <w:t xml:space="preserve"> SP = level of self-efficacy due to social persuasion</w:t>
      </w:r>
      <w:r w:rsidR="005D2117">
        <w:rPr>
          <w:rFonts w:ascii="Times New Roman" w:hAnsi="Times New Roman" w:cs="Times New Roman"/>
          <w:sz w:val="24"/>
          <w:szCs w:val="24"/>
        </w:rPr>
        <w:t>,</w:t>
      </w:r>
      <w:r w:rsidR="005D2117" w:rsidRPr="00F50919">
        <w:rPr>
          <w:rFonts w:ascii="Times New Roman" w:hAnsi="Times New Roman" w:cs="Times New Roman"/>
          <w:sz w:val="24"/>
          <w:szCs w:val="24"/>
        </w:rPr>
        <w:t xml:space="preserve"> PS = level of self-efficacy due to physiological state</w:t>
      </w:r>
      <w:r w:rsidR="005D2117">
        <w:rPr>
          <w:rFonts w:ascii="Times New Roman" w:hAnsi="Times New Roman" w:cs="Times New Roman"/>
          <w:sz w:val="24"/>
          <w:szCs w:val="24"/>
        </w:rPr>
        <w:t>. ME, VL, SP, and PS were</w:t>
      </w:r>
      <w:r w:rsidR="005D2117" w:rsidRPr="00F50919">
        <w:rPr>
          <w:rFonts w:ascii="Times New Roman" w:hAnsi="Times New Roman" w:cs="Times New Roman"/>
          <w:sz w:val="24"/>
          <w:szCs w:val="24"/>
        </w:rPr>
        <w:t xml:space="preserve"> scored on a 1 to 5 Likert scale.</w:t>
      </w:r>
    </w:p>
    <w:p w14:paraId="0E15F357" w14:textId="45F7BAF2" w:rsidR="00724B8D" w:rsidRDefault="00F03378" w:rsidP="00724B8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 the women</w:t>
      </w:r>
      <w:r w:rsidR="005811F9">
        <w:rPr>
          <w:rFonts w:ascii="Times New Roman" w:hAnsi="Times New Roman" w:cs="Times New Roman"/>
          <w:sz w:val="24"/>
          <w:szCs w:val="24"/>
        </w:rPr>
        <w:t>-</w:t>
      </w:r>
      <w:r>
        <w:rPr>
          <w:rFonts w:ascii="Times New Roman" w:hAnsi="Times New Roman" w:cs="Times New Roman"/>
          <w:sz w:val="24"/>
          <w:szCs w:val="24"/>
        </w:rPr>
        <w:t xml:space="preserve">only logistic regression </w:t>
      </w:r>
      <w:r w:rsidR="006B3725">
        <w:rPr>
          <w:rFonts w:ascii="Times New Roman" w:hAnsi="Times New Roman" w:cs="Times New Roman"/>
          <w:sz w:val="24"/>
          <w:szCs w:val="24"/>
        </w:rPr>
        <w:t>analysis</w:t>
      </w:r>
      <w:r>
        <w:rPr>
          <w:rFonts w:ascii="Times New Roman" w:hAnsi="Times New Roman" w:cs="Times New Roman"/>
          <w:sz w:val="24"/>
          <w:szCs w:val="24"/>
        </w:rPr>
        <w:t xml:space="preserve">, </w:t>
      </w:r>
      <w:r w:rsidR="002D295C">
        <w:rPr>
          <w:rFonts w:ascii="Times New Roman" w:hAnsi="Times New Roman" w:cs="Times New Roman"/>
          <w:i/>
          <w:sz w:val="24"/>
          <w:szCs w:val="24"/>
        </w:rPr>
        <w:t>n</w:t>
      </w:r>
      <w:r>
        <w:rPr>
          <w:rFonts w:ascii="Times New Roman" w:hAnsi="Times New Roman" w:cs="Times New Roman"/>
          <w:i/>
          <w:sz w:val="24"/>
          <w:szCs w:val="24"/>
        </w:rPr>
        <w:t xml:space="preserve"> = </w:t>
      </w:r>
      <w:r w:rsidRPr="00BA4A2D">
        <w:rPr>
          <w:rFonts w:ascii="Times New Roman" w:hAnsi="Times New Roman" w:cs="Times New Roman"/>
          <w:iCs/>
          <w:sz w:val="24"/>
          <w:szCs w:val="24"/>
        </w:rPr>
        <w:t>59</w:t>
      </w:r>
      <w:r w:rsidR="00390C3B" w:rsidRPr="00BA4A2D">
        <w:rPr>
          <w:rFonts w:ascii="Times New Roman" w:hAnsi="Times New Roman" w:cs="Times New Roman"/>
          <w:iCs/>
          <w:sz w:val="24"/>
          <w:szCs w:val="24"/>
        </w:rPr>
        <w:t>,</w:t>
      </w:r>
      <w:r w:rsidR="00390C3B">
        <w:rPr>
          <w:rFonts w:ascii="Times New Roman" w:hAnsi="Times New Roman" w:cs="Times New Roman"/>
          <w:i/>
          <w:sz w:val="24"/>
          <w:szCs w:val="24"/>
        </w:rPr>
        <w:t xml:space="preserve"> </w:t>
      </w:r>
      <w:r w:rsidR="00390C3B">
        <w:rPr>
          <w:rFonts w:ascii="Times New Roman" w:hAnsi="Times New Roman" w:cs="Times New Roman"/>
          <w:sz w:val="24"/>
          <w:szCs w:val="24"/>
        </w:rPr>
        <w:t xml:space="preserve">the </w:t>
      </w:r>
      <w:r w:rsidRPr="00C36928">
        <w:rPr>
          <w:rFonts w:ascii="Times New Roman" w:hAnsi="Times New Roman" w:cs="Times New Roman"/>
          <w:sz w:val="24"/>
          <w:szCs w:val="24"/>
        </w:rPr>
        <w:t>model was significant</w:t>
      </w:r>
      <w:r w:rsidR="00390C3B">
        <w:rPr>
          <w:rFonts w:ascii="Times New Roman" w:hAnsi="Times New Roman" w:cs="Times New Roman"/>
          <w:sz w:val="24"/>
          <w:szCs w:val="24"/>
        </w:rPr>
        <w:t>,</w:t>
      </w:r>
      <w:r w:rsidRPr="00C36928">
        <w:rPr>
          <w:rFonts w:ascii="Times New Roman" w:hAnsi="Times New Roman" w:cs="Times New Roman"/>
          <w:sz w:val="24"/>
          <w:szCs w:val="24"/>
        </w:rPr>
        <w:t xml:space="preserve"> </w:t>
      </w:r>
      <w:r w:rsidR="00724B8D" w:rsidRPr="00F50919">
        <w:rPr>
          <w:rFonts w:ascii="Times New Roman" w:hAnsi="Times New Roman" w:cs="Times New Roman"/>
          <w:iCs/>
          <w:sz w:val="24"/>
          <w:szCs w:val="24"/>
        </w:rPr>
        <w:t>χ</w:t>
      </w:r>
      <w:r w:rsidR="00724B8D" w:rsidRPr="00BA4A2D">
        <w:rPr>
          <w:rFonts w:ascii="Times New Roman" w:hAnsi="Times New Roman" w:cs="Times New Roman"/>
          <w:iCs/>
          <w:sz w:val="24"/>
          <w:szCs w:val="24"/>
          <w:vertAlign w:val="superscript"/>
        </w:rPr>
        <w:t>2</w:t>
      </w:r>
      <w:r w:rsidRPr="00995FF2">
        <w:rPr>
          <w:rFonts w:ascii="Times New Roman" w:hAnsi="Times New Roman" w:cs="Times New Roman"/>
          <w:iCs/>
          <w:sz w:val="24"/>
          <w:szCs w:val="24"/>
        </w:rPr>
        <w:t>(6)</w:t>
      </w:r>
      <w:r w:rsidRPr="00847F02">
        <w:rPr>
          <w:rFonts w:ascii="Times New Roman" w:hAnsi="Times New Roman" w:cs="Times New Roman"/>
          <w:iCs/>
          <w:sz w:val="24"/>
          <w:szCs w:val="24"/>
        </w:rPr>
        <w:t xml:space="preserve"> </w:t>
      </w:r>
      <w:r w:rsidRPr="00995FF2">
        <w:rPr>
          <w:rFonts w:ascii="Times New Roman" w:hAnsi="Times New Roman" w:cs="Times New Roman"/>
          <w:iCs/>
          <w:sz w:val="24"/>
          <w:szCs w:val="24"/>
        </w:rPr>
        <w:t>= 30.778</w:t>
      </w:r>
      <w:r w:rsidRPr="00C36928">
        <w:rPr>
          <w:rFonts w:ascii="Times New Roman" w:hAnsi="Times New Roman" w:cs="Times New Roman"/>
          <w:i/>
          <w:sz w:val="24"/>
          <w:szCs w:val="24"/>
        </w:rPr>
        <w:t xml:space="preserve">, p </w:t>
      </w:r>
      <w:r w:rsidRPr="00995FF2">
        <w:rPr>
          <w:rFonts w:ascii="Times New Roman" w:hAnsi="Times New Roman" w:cs="Times New Roman"/>
          <w:iCs/>
          <w:sz w:val="24"/>
          <w:szCs w:val="24"/>
        </w:rPr>
        <w:t>&lt; .001</w:t>
      </w:r>
      <w:r w:rsidR="00390C3B">
        <w:rPr>
          <w:rFonts w:ascii="Times New Roman" w:hAnsi="Times New Roman" w:cs="Times New Roman"/>
          <w:i/>
          <w:sz w:val="24"/>
          <w:szCs w:val="24"/>
        </w:rPr>
        <w:t xml:space="preserve"> </w:t>
      </w:r>
      <w:r w:rsidR="00390C3B">
        <w:rPr>
          <w:rFonts w:ascii="Times New Roman" w:hAnsi="Times New Roman" w:cs="Times New Roman"/>
          <w:sz w:val="24"/>
          <w:szCs w:val="24"/>
        </w:rPr>
        <w:t>(</w:t>
      </w:r>
      <w:r w:rsidR="00A113D5">
        <w:rPr>
          <w:rFonts w:ascii="Times New Roman" w:hAnsi="Times New Roman" w:cs="Times New Roman"/>
          <w:sz w:val="24"/>
          <w:szCs w:val="24"/>
        </w:rPr>
        <w:t xml:space="preserve">Table G1, </w:t>
      </w:r>
      <w:r w:rsidR="00A14B0B">
        <w:rPr>
          <w:rFonts w:ascii="Times New Roman" w:hAnsi="Times New Roman" w:cs="Times New Roman"/>
          <w:sz w:val="24"/>
          <w:szCs w:val="24"/>
        </w:rPr>
        <w:t>Appendix G</w:t>
      </w:r>
      <w:r w:rsidR="00390C3B">
        <w:rPr>
          <w:rFonts w:ascii="Times New Roman" w:hAnsi="Times New Roman" w:cs="Times New Roman"/>
          <w:sz w:val="24"/>
          <w:szCs w:val="24"/>
        </w:rPr>
        <w:t>)</w:t>
      </w:r>
      <w:r>
        <w:rPr>
          <w:rFonts w:ascii="Times New Roman" w:hAnsi="Times New Roman" w:cs="Times New Roman"/>
          <w:sz w:val="24"/>
          <w:szCs w:val="24"/>
        </w:rPr>
        <w:t>. The model explained 63.9% of the difference in enrollment decision</w:t>
      </w:r>
      <w:r w:rsidR="00390C3B">
        <w:rPr>
          <w:rFonts w:ascii="Times New Roman" w:hAnsi="Times New Roman" w:cs="Times New Roman"/>
          <w:sz w:val="24"/>
          <w:szCs w:val="24"/>
        </w:rPr>
        <w:t xml:space="preserve"> </w:t>
      </w:r>
      <w:r>
        <w:rPr>
          <w:rFonts w:ascii="Times New Roman" w:hAnsi="Times New Roman" w:cs="Times New Roman"/>
          <w:sz w:val="24"/>
          <w:szCs w:val="24"/>
        </w:rPr>
        <w:t>and correctly classified 93.2% of cases</w:t>
      </w:r>
      <w:r w:rsidR="00390C3B">
        <w:rPr>
          <w:rFonts w:ascii="Times New Roman" w:hAnsi="Times New Roman" w:cs="Times New Roman"/>
          <w:sz w:val="24"/>
          <w:szCs w:val="24"/>
        </w:rPr>
        <w:t xml:space="preserve"> (</w:t>
      </w:r>
      <w:r w:rsidR="00A113D5">
        <w:rPr>
          <w:rFonts w:ascii="Times New Roman" w:hAnsi="Times New Roman" w:cs="Times New Roman"/>
          <w:sz w:val="24"/>
          <w:szCs w:val="24"/>
        </w:rPr>
        <w:t xml:space="preserve">Tables G2 and G3, </w:t>
      </w:r>
      <w:r w:rsidR="00A14B0B">
        <w:rPr>
          <w:rFonts w:ascii="Times New Roman" w:hAnsi="Times New Roman" w:cs="Times New Roman"/>
          <w:sz w:val="24"/>
          <w:szCs w:val="24"/>
        </w:rPr>
        <w:t>Appendix G</w:t>
      </w:r>
      <w:r w:rsidR="00390C3B">
        <w:rPr>
          <w:rFonts w:ascii="Times New Roman" w:hAnsi="Times New Roman" w:cs="Times New Roman"/>
          <w:sz w:val="24"/>
          <w:szCs w:val="24"/>
        </w:rPr>
        <w:t>)</w:t>
      </w:r>
      <w:r>
        <w:rPr>
          <w:rFonts w:ascii="Times New Roman" w:hAnsi="Times New Roman" w:cs="Times New Roman"/>
          <w:sz w:val="24"/>
          <w:szCs w:val="24"/>
        </w:rPr>
        <w:t xml:space="preserve">. </w:t>
      </w:r>
    </w:p>
    <w:p w14:paraId="4410A5E9" w14:textId="4A99EC95" w:rsidR="00724B8D" w:rsidRPr="00D47535" w:rsidRDefault="00724B8D" w:rsidP="00724B8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Of the four factors of self-efficacy, only mastery experience </w:t>
      </w:r>
      <w:r>
        <w:rPr>
          <w:rFonts w:ascii="Times New Roman" w:hAnsi="Times New Roman" w:cs="Times New Roman"/>
          <w:i/>
          <w:sz w:val="24"/>
          <w:szCs w:val="24"/>
        </w:rPr>
        <w:t xml:space="preserve">(p </w:t>
      </w:r>
      <w:r w:rsidRPr="00995FF2">
        <w:rPr>
          <w:rFonts w:ascii="Times New Roman" w:hAnsi="Times New Roman" w:cs="Times New Roman"/>
          <w:iCs/>
          <w:sz w:val="24"/>
          <w:szCs w:val="24"/>
        </w:rPr>
        <w:t>= .04</w:t>
      </w:r>
      <w:r w:rsidRPr="00FD75EF">
        <w:rPr>
          <w:rFonts w:ascii="Times New Roman" w:hAnsi="Times New Roman" w:cs="Times New Roman"/>
          <w:i/>
          <w:sz w:val="24"/>
          <w:szCs w:val="24"/>
        </w:rPr>
        <w:t>)</w:t>
      </w:r>
      <w:r>
        <w:rPr>
          <w:rFonts w:ascii="Times New Roman" w:hAnsi="Times New Roman" w:cs="Times New Roman"/>
          <w:sz w:val="24"/>
          <w:szCs w:val="24"/>
        </w:rPr>
        <w:t xml:space="preserve"> was a significant predictor of advanced high school physics enrollment. Controlling for other variables, each additional unit in mastery experiences was associated with an increase in the odds of enrolling in a second year of high school physics by a factor of 323.24 (Table 8).</w:t>
      </w:r>
    </w:p>
    <w:p w14:paraId="4DB9A1C7" w14:textId="77777777" w:rsidR="00724B8D" w:rsidRPr="00F50919" w:rsidRDefault="00724B8D" w:rsidP="00724B8D">
      <w:pPr>
        <w:spacing w:after="0" w:line="480" w:lineRule="auto"/>
        <w:ind w:firstLine="720"/>
        <w:rPr>
          <w:rFonts w:ascii="Times New Roman" w:hAnsi="Times New Roman" w:cs="Times New Roman"/>
          <w:b/>
          <w:bCs/>
          <w:sz w:val="24"/>
          <w:szCs w:val="24"/>
        </w:rPr>
      </w:pPr>
      <w:r w:rsidRPr="00F50919">
        <w:rPr>
          <w:rFonts w:ascii="Times New Roman" w:hAnsi="Times New Roman" w:cs="Times New Roman"/>
          <w:sz w:val="24"/>
          <w:szCs w:val="24"/>
        </w:rPr>
        <w:t>Model #3 (Table 8) shares characteristics with Model #1 (Table 6) in that mastery experiences was the only significant predictor of advanced physics course enrollment. Therefore, we can conclude that the impact of mastery experience on advanced physics enrollment as a whole was nearly entirely due to its impact on women.</w:t>
      </w:r>
    </w:p>
    <w:p w14:paraId="17D3814D" w14:textId="77A5AD7E" w:rsidR="00390C3B" w:rsidRPr="00A14B0B" w:rsidRDefault="00390C3B" w:rsidP="00BA4A2D">
      <w:pPr>
        <w:widowControl w:val="0"/>
        <w:spacing w:after="0" w:line="480" w:lineRule="auto"/>
        <w:rPr>
          <w:rFonts w:ascii="Times New Roman" w:hAnsi="Times New Roman" w:cs="Times New Roman"/>
          <w:b/>
          <w:bCs/>
          <w:sz w:val="24"/>
          <w:szCs w:val="24"/>
        </w:rPr>
      </w:pPr>
      <w:r w:rsidRPr="00A14B0B">
        <w:rPr>
          <w:rFonts w:ascii="Times New Roman" w:hAnsi="Times New Roman" w:cs="Times New Roman"/>
          <w:b/>
          <w:bCs/>
          <w:sz w:val="24"/>
          <w:szCs w:val="24"/>
        </w:rPr>
        <w:t xml:space="preserve">Table </w:t>
      </w:r>
      <w:r w:rsidR="00395B5F" w:rsidRPr="00A14B0B">
        <w:rPr>
          <w:rFonts w:ascii="Times New Roman" w:hAnsi="Times New Roman" w:cs="Times New Roman"/>
          <w:b/>
          <w:bCs/>
          <w:sz w:val="24"/>
          <w:szCs w:val="24"/>
        </w:rPr>
        <w:t>8</w:t>
      </w:r>
    </w:p>
    <w:p w14:paraId="7E18D4CA" w14:textId="3FA83C1D" w:rsidR="00956952" w:rsidRPr="00EB2B4A" w:rsidRDefault="00A10EB5" w:rsidP="00BA4A2D">
      <w:pPr>
        <w:widowControl w:val="0"/>
        <w:spacing w:after="0" w:line="480" w:lineRule="auto"/>
        <w:rPr>
          <w:rFonts w:ascii="Times New Roman" w:hAnsi="Times New Roman" w:cs="Times New Roman"/>
          <w:i/>
          <w:sz w:val="24"/>
          <w:szCs w:val="24"/>
        </w:rPr>
      </w:pPr>
      <w:r>
        <w:rPr>
          <w:rFonts w:ascii="Times New Roman" w:hAnsi="Times New Roman" w:cs="Times New Roman"/>
          <w:i/>
          <w:sz w:val="24"/>
          <w:szCs w:val="24"/>
        </w:rPr>
        <w:t>Coefficients</w:t>
      </w:r>
      <w:r w:rsidR="00956952">
        <w:rPr>
          <w:rFonts w:ascii="Times New Roman" w:hAnsi="Times New Roman" w:cs="Times New Roman"/>
          <w:i/>
          <w:sz w:val="24"/>
          <w:szCs w:val="24"/>
        </w:rPr>
        <w:t xml:space="preserve"> and Significance of Predictors in </w:t>
      </w:r>
      <w:r w:rsidR="008159B8">
        <w:rPr>
          <w:rFonts w:ascii="Times New Roman" w:hAnsi="Times New Roman" w:cs="Times New Roman"/>
          <w:i/>
          <w:sz w:val="24"/>
          <w:szCs w:val="24"/>
        </w:rPr>
        <w:t xml:space="preserve">Second-year </w:t>
      </w:r>
      <w:r w:rsidR="00FE1D16">
        <w:rPr>
          <w:rFonts w:ascii="Times New Roman" w:hAnsi="Times New Roman" w:cs="Times New Roman"/>
          <w:i/>
          <w:sz w:val="24"/>
          <w:szCs w:val="24"/>
        </w:rPr>
        <w:t>P</w:t>
      </w:r>
      <w:r w:rsidR="008159B8">
        <w:rPr>
          <w:rFonts w:ascii="Times New Roman" w:hAnsi="Times New Roman" w:cs="Times New Roman"/>
          <w:i/>
          <w:sz w:val="24"/>
          <w:szCs w:val="24"/>
        </w:rPr>
        <w:t>hysics</w:t>
      </w:r>
      <w:r w:rsidR="00956952">
        <w:rPr>
          <w:rFonts w:ascii="Times New Roman" w:hAnsi="Times New Roman" w:cs="Times New Roman"/>
          <w:i/>
          <w:sz w:val="24"/>
          <w:szCs w:val="24"/>
        </w:rPr>
        <w:t xml:space="preserve"> Enrollment</w:t>
      </w:r>
      <w:r w:rsidR="0076098D">
        <w:rPr>
          <w:rFonts w:ascii="Times New Roman" w:hAnsi="Times New Roman" w:cs="Times New Roman"/>
          <w:i/>
          <w:sz w:val="24"/>
          <w:szCs w:val="24"/>
        </w:rPr>
        <w:t xml:space="preserve"> for High School </w:t>
      </w:r>
      <w:r w:rsidR="00D47535">
        <w:rPr>
          <w:rFonts w:ascii="Times New Roman" w:hAnsi="Times New Roman" w:cs="Times New Roman"/>
          <w:i/>
          <w:sz w:val="24"/>
          <w:szCs w:val="24"/>
        </w:rPr>
        <w:t>Women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
      <w:tblGrid>
        <w:gridCol w:w="1347"/>
        <w:gridCol w:w="1337"/>
        <w:gridCol w:w="1664"/>
        <w:gridCol w:w="1291"/>
        <w:gridCol w:w="1084"/>
        <w:gridCol w:w="1106"/>
        <w:gridCol w:w="1531"/>
      </w:tblGrid>
      <w:tr w:rsidR="00004DF6" w:rsidRPr="003E061F" w14:paraId="7024B56F" w14:textId="77777777" w:rsidTr="00BA4A2D">
        <w:trPr>
          <w:trHeight w:hRule="exact" w:val="307"/>
        </w:trPr>
        <w:tc>
          <w:tcPr>
            <w:tcW w:w="1347" w:type="dxa"/>
            <w:tcBorders>
              <w:top w:val="single" w:sz="4" w:space="0" w:color="auto"/>
              <w:bottom w:val="single" w:sz="4" w:space="0" w:color="auto"/>
            </w:tcBorders>
          </w:tcPr>
          <w:p w14:paraId="3CD8C4B9" w14:textId="77777777" w:rsidR="00004DF6" w:rsidRPr="00BA4A2D" w:rsidRDefault="00004DF6" w:rsidP="00BA4A2D">
            <w:pPr>
              <w:widowControl w:val="0"/>
              <w:spacing w:after="0" w:line="240" w:lineRule="auto"/>
              <w:jc w:val="center"/>
              <w:rPr>
                <w:i/>
                <w:iCs/>
              </w:rPr>
            </w:pPr>
            <w:r w:rsidRPr="00BA4A2D">
              <w:rPr>
                <w:i/>
                <w:iCs/>
              </w:rPr>
              <w:t>Variables</w:t>
            </w:r>
          </w:p>
        </w:tc>
        <w:tc>
          <w:tcPr>
            <w:tcW w:w="1337" w:type="dxa"/>
            <w:tcBorders>
              <w:top w:val="single" w:sz="4" w:space="0" w:color="auto"/>
              <w:bottom w:val="single" w:sz="4" w:space="0" w:color="auto"/>
            </w:tcBorders>
          </w:tcPr>
          <w:p w14:paraId="62FFC000" w14:textId="77777777" w:rsidR="00004DF6" w:rsidRPr="00724B8D" w:rsidRDefault="00004DF6" w:rsidP="00BA4A2D">
            <w:pPr>
              <w:widowControl w:val="0"/>
              <w:spacing w:after="0" w:line="240" w:lineRule="auto"/>
              <w:jc w:val="center"/>
              <w:rPr>
                <w:i/>
                <w:iCs/>
              </w:rPr>
            </w:pPr>
            <w:r w:rsidRPr="00724B8D">
              <w:rPr>
                <w:i/>
                <w:iCs/>
              </w:rPr>
              <w:t>B</w:t>
            </w:r>
          </w:p>
        </w:tc>
        <w:tc>
          <w:tcPr>
            <w:tcW w:w="1664" w:type="dxa"/>
            <w:tcBorders>
              <w:top w:val="single" w:sz="4" w:space="0" w:color="auto"/>
              <w:bottom w:val="single" w:sz="4" w:space="0" w:color="auto"/>
            </w:tcBorders>
          </w:tcPr>
          <w:p w14:paraId="0875B531" w14:textId="77777777" w:rsidR="00004DF6" w:rsidRPr="00BA4A2D" w:rsidRDefault="00004DF6" w:rsidP="00BA4A2D">
            <w:pPr>
              <w:widowControl w:val="0"/>
              <w:spacing w:after="0" w:line="240" w:lineRule="auto"/>
              <w:jc w:val="center"/>
              <w:rPr>
                <w:i/>
                <w:iCs/>
              </w:rPr>
            </w:pPr>
            <w:r w:rsidRPr="00BA4A2D">
              <w:rPr>
                <w:i/>
                <w:iCs/>
              </w:rPr>
              <w:t>S.E.</w:t>
            </w:r>
          </w:p>
        </w:tc>
        <w:tc>
          <w:tcPr>
            <w:tcW w:w="1291" w:type="dxa"/>
            <w:tcBorders>
              <w:top w:val="single" w:sz="4" w:space="0" w:color="auto"/>
              <w:bottom w:val="single" w:sz="4" w:space="0" w:color="auto"/>
            </w:tcBorders>
          </w:tcPr>
          <w:p w14:paraId="26B4CF93" w14:textId="77777777" w:rsidR="00004DF6" w:rsidRPr="00BA4A2D" w:rsidRDefault="00004DF6" w:rsidP="00BA4A2D">
            <w:pPr>
              <w:widowControl w:val="0"/>
              <w:spacing w:after="0" w:line="240" w:lineRule="auto"/>
              <w:jc w:val="center"/>
              <w:rPr>
                <w:i/>
                <w:iCs/>
              </w:rPr>
            </w:pPr>
            <w:r w:rsidRPr="00BA4A2D">
              <w:rPr>
                <w:i/>
                <w:iCs/>
              </w:rPr>
              <w:t>Wald</w:t>
            </w:r>
          </w:p>
        </w:tc>
        <w:tc>
          <w:tcPr>
            <w:tcW w:w="1084" w:type="dxa"/>
            <w:tcBorders>
              <w:top w:val="single" w:sz="4" w:space="0" w:color="auto"/>
              <w:bottom w:val="single" w:sz="4" w:space="0" w:color="auto"/>
            </w:tcBorders>
          </w:tcPr>
          <w:p w14:paraId="018C0BC7" w14:textId="77777777" w:rsidR="00004DF6" w:rsidRPr="00BA4A2D" w:rsidRDefault="00004DF6" w:rsidP="00BA4A2D">
            <w:pPr>
              <w:widowControl w:val="0"/>
              <w:spacing w:after="0" w:line="240" w:lineRule="auto"/>
              <w:jc w:val="center"/>
              <w:rPr>
                <w:i/>
                <w:iCs/>
              </w:rPr>
            </w:pPr>
            <w:r w:rsidRPr="00BA4A2D">
              <w:rPr>
                <w:i/>
                <w:iCs/>
              </w:rPr>
              <w:t>df</w:t>
            </w:r>
          </w:p>
        </w:tc>
        <w:tc>
          <w:tcPr>
            <w:tcW w:w="1106" w:type="dxa"/>
            <w:tcBorders>
              <w:top w:val="single" w:sz="4" w:space="0" w:color="auto"/>
              <w:bottom w:val="single" w:sz="4" w:space="0" w:color="auto"/>
            </w:tcBorders>
          </w:tcPr>
          <w:p w14:paraId="74AC8ECE" w14:textId="77777777" w:rsidR="00004DF6" w:rsidRPr="00BA4A2D" w:rsidRDefault="00004DF6" w:rsidP="00BA4A2D">
            <w:pPr>
              <w:widowControl w:val="0"/>
              <w:spacing w:after="0" w:line="240" w:lineRule="auto"/>
              <w:jc w:val="center"/>
              <w:rPr>
                <w:i/>
                <w:iCs/>
              </w:rPr>
            </w:pPr>
            <w:r w:rsidRPr="00BA4A2D">
              <w:rPr>
                <w:i/>
                <w:iCs/>
              </w:rPr>
              <w:t>Sig.</w:t>
            </w:r>
          </w:p>
        </w:tc>
        <w:tc>
          <w:tcPr>
            <w:tcW w:w="1531" w:type="dxa"/>
            <w:tcBorders>
              <w:top w:val="single" w:sz="4" w:space="0" w:color="auto"/>
              <w:bottom w:val="single" w:sz="4" w:space="0" w:color="auto"/>
            </w:tcBorders>
          </w:tcPr>
          <w:p w14:paraId="1AEF79EA" w14:textId="77777777" w:rsidR="00004DF6" w:rsidRPr="00BA4A2D" w:rsidRDefault="00004DF6" w:rsidP="00BA4A2D">
            <w:pPr>
              <w:widowControl w:val="0"/>
              <w:spacing w:after="0" w:line="240" w:lineRule="auto"/>
              <w:jc w:val="center"/>
              <w:rPr>
                <w:i/>
                <w:iCs/>
              </w:rPr>
            </w:pPr>
            <w:r w:rsidRPr="00BA4A2D">
              <w:rPr>
                <w:i/>
                <w:iCs/>
              </w:rPr>
              <w:t>Exp(</w:t>
            </w:r>
            <w:r w:rsidRPr="00724B8D">
              <w:rPr>
                <w:i/>
                <w:iCs/>
              </w:rPr>
              <w:t>B</w:t>
            </w:r>
            <w:r w:rsidRPr="00BA4A2D">
              <w:rPr>
                <w:i/>
                <w:iCs/>
              </w:rPr>
              <w:t>)</w:t>
            </w:r>
          </w:p>
        </w:tc>
      </w:tr>
      <w:tr w:rsidR="00004DF6" w14:paraId="4E2A7232" w14:textId="77777777" w:rsidTr="00BA4A2D">
        <w:trPr>
          <w:trHeight w:hRule="exact" w:val="262"/>
        </w:trPr>
        <w:tc>
          <w:tcPr>
            <w:tcW w:w="1347" w:type="dxa"/>
            <w:tcBorders>
              <w:top w:val="single" w:sz="4" w:space="0" w:color="auto"/>
            </w:tcBorders>
          </w:tcPr>
          <w:p w14:paraId="4B5162B4" w14:textId="7FD0697E" w:rsidR="00004DF6" w:rsidRPr="00A14B0B" w:rsidRDefault="00004DF6" w:rsidP="00BA4A2D">
            <w:pPr>
              <w:widowControl w:val="0"/>
              <w:spacing w:after="0" w:line="240" w:lineRule="auto"/>
              <w:rPr>
                <w:iCs/>
                <w:vertAlign w:val="superscript"/>
              </w:rPr>
            </w:pPr>
            <w:r w:rsidRPr="00A14B0B">
              <w:rPr>
                <w:iCs/>
              </w:rPr>
              <w:t>S1G</w:t>
            </w:r>
          </w:p>
        </w:tc>
        <w:tc>
          <w:tcPr>
            <w:tcW w:w="1337" w:type="dxa"/>
            <w:tcBorders>
              <w:top w:val="single" w:sz="4" w:space="0" w:color="auto"/>
            </w:tcBorders>
          </w:tcPr>
          <w:p w14:paraId="0C446524" w14:textId="46A61E35" w:rsidR="00004DF6" w:rsidRDefault="00004DF6" w:rsidP="00BA4A2D">
            <w:pPr>
              <w:widowControl w:val="0"/>
              <w:spacing w:after="0" w:line="240" w:lineRule="auto"/>
              <w:jc w:val="right"/>
            </w:pPr>
            <w:r>
              <w:t>-.524</w:t>
            </w:r>
          </w:p>
        </w:tc>
        <w:tc>
          <w:tcPr>
            <w:tcW w:w="1664" w:type="dxa"/>
            <w:tcBorders>
              <w:top w:val="single" w:sz="4" w:space="0" w:color="auto"/>
            </w:tcBorders>
          </w:tcPr>
          <w:p w14:paraId="36E8D013" w14:textId="633B7BA6" w:rsidR="00004DF6" w:rsidRDefault="00004DF6" w:rsidP="00BA4A2D">
            <w:pPr>
              <w:widowControl w:val="0"/>
              <w:spacing w:after="0" w:line="240" w:lineRule="auto"/>
              <w:jc w:val="right"/>
            </w:pPr>
            <w:r>
              <w:t>.358</w:t>
            </w:r>
          </w:p>
        </w:tc>
        <w:tc>
          <w:tcPr>
            <w:tcW w:w="1291" w:type="dxa"/>
            <w:tcBorders>
              <w:top w:val="single" w:sz="4" w:space="0" w:color="auto"/>
            </w:tcBorders>
          </w:tcPr>
          <w:p w14:paraId="1C833302" w14:textId="227C0949" w:rsidR="00004DF6" w:rsidRDefault="00004DF6" w:rsidP="00BA4A2D">
            <w:pPr>
              <w:widowControl w:val="0"/>
              <w:spacing w:after="0" w:line="240" w:lineRule="auto"/>
              <w:jc w:val="right"/>
            </w:pPr>
            <w:r>
              <w:t>2.145</w:t>
            </w:r>
          </w:p>
        </w:tc>
        <w:tc>
          <w:tcPr>
            <w:tcW w:w="1084" w:type="dxa"/>
            <w:tcBorders>
              <w:top w:val="single" w:sz="4" w:space="0" w:color="auto"/>
            </w:tcBorders>
          </w:tcPr>
          <w:p w14:paraId="70489FDA" w14:textId="77777777" w:rsidR="00004DF6" w:rsidRDefault="00004DF6" w:rsidP="00BA4A2D">
            <w:pPr>
              <w:widowControl w:val="0"/>
              <w:spacing w:after="0" w:line="240" w:lineRule="auto"/>
              <w:jc w:val="right"/>
            </w:pPr>
            <w:r>
              <w:t>1</w:t>
            </w:r>
          </w:p>
        </w:tc>
        <w:tc>
          <w:tcPr>
            <w:tcW w:w="1106" w:type="dxa"/>
            <w:tcBorders>
              <w:top w:val="single" w:sz="4" w:space="0" w:color="auto"/>
            </w:tcBorders>
          </w:tcPr>
          <w:p w14:paraId="2D295D04" w14:textId="18DDC4A8" w:rsidR="00004DF6" w:rsidRDefault="00004DF6" w:rsidP="00BA4A2D">
            <w:pPr>
              <w:widowControl w:val="0"/>
              <w:spacing w:after="0" w:line="240" w:lineRule="auto"/>
              <w:jc w:val="right"/>
            </w:pPr>
            <w:r>
              <w:t>.143</w:t>
            </w:r>
          </w:p>
        </w:tc>
        <w:tc>
          <w:tcPr>
            <w:tcW w:w="1531" w:type="dxa"/>
            <w:tcBorders>
              <w:top w:val="single" w:sz="4" w:space="0" w:color="auto"/>
            </w:tcBorders>
          </w:tcPr>
          <w:p w14:paraId="26E22ECF" w14:textId="39B79068" w:rsidR="00004DF6" w:rsidRDefault="00004DF6" w:rsidP="00BA4A2D">
            <w:pPr>
              <w:widowControl w:val="0"/>
              <w:spacing w:after="0" w:line="240" w:lineRule="auto"/>
              <w:jc w:val="right"/>
            </w:pPr>
            <w:r>
              <w:t>.592</w:t>
            </w:r>
          </w:p>
        </w:tc>
      </w:tr>
      <w:tr w:rsidR="00004DF6" w14:paraId="50E82821" w14:textId="77777777" w:rsidTr="00BA4A2D">
        <w:trPr>
          <w:trHeight w:hRule="exact" w:val="270"/>
        </w:trPr>
        <w:tc>
          <w:tcPr>
            <w:tcW w:w="1347" w:type="dxa"/>
          </w:tcPr>
          <w:p w14:paraId="4D6BCE71" w14:textId="3205061D" w:rsidR="00004DF6" w:rsidRPr="00D47535" w:rsidRDefault="00004DF6" w:rsidP="00BA4A2D">
            <w:pPr>
              <w:widowControl w:val="0"/>
              <w:spacing w:after="0" w:line="240" w:lineRule="auto"/>
              <w:rPr>
                <w:iCs/>
                <w:vertAlign w:val="superscript"/>
              </w:rPr>
            </w:pPr>
            <w:r w:rsidRPr="00D47535">
              <w:rPr>
                <w:iCs/>
              </w:rPr>
              <w:t>PKG</w:t>
            </w:r>
          </w:p>
        </w:tc>
        <w:tc>
          <w:tcPr>
            <w:tcW w:w="1337" w:type="dxa"/>
          </w:tcPr>
          <w:p w14:paraId="3BDB9C91" w14:textId="6B9134A2" w:rsidR="00004DF6" w:rsidRDefault="00004DF6" w:rsidP="00BA4A2D">
            <w:pPr>
              <w:widowControl w:val="0"/>
              <w:spacing w:after="0" w:line="240" w:lineRule="auto"/>
              <w:jc w:val="right"/>
            </w:pPr>
            <w:r>
              <w:t>-.179</w:t>
            </w:r>
          </w:p>
        </w:tc>
        <w:tc>
          <w:tcPr>
            <w:tcW w:w="1664" w:type="dxa"/>
          </w:tcPr>
          <w:p w14:paraId="73124682" w14:textId="0DEAF324" w:rsidR="00004DF6" w:rsidRDefault="00004DF6" w:rsidP="00BA4A2D">
            <w:pPr>
              <w:widowControl w:val="0"/>
              <w:spacing w:after="0" w:line="240" w:lineRule="auto"/>
              <w:jc w:val="right"/>
            </w:pPr>
            <w:r>
              <w:t>.176</w:t>
            </w:r>
          </w:p>
        </w:tc>
        <w:tc>
          <w:tcPr>
            <w:tcW w:w="1291" w:type="dxa"/>
          </w:tcPr>
          <w:p w14:paraId="1F27CF48" w14:textId="47FC7035" w:rsidR="00004DF6" w:rsidRDefault="00004DF6" w:rsidP="00BA4A2D">
            <w:pPr>
              <w:widowControl w:val="0"/>
              <w:spacing w:after="0" w:line="240" w:lineRule="auto"/>
              <w:jc w:val="right"/>
            </w:pPr>
            <w:r>
              <w:t>1.035</w:t>
            </w:r>
          </w:p>
        </w:tc>
        <w:tc>
          <w:tcPr>
            <w:tcW w:w="1084" w:type="dxa"/>
          </w:tcPr>
          <w:p w14:paraId="5547BFEB" w14:textId="77777777" w:rsidR="00004DF6" w:rsidRDefault="00004DF6" w:rsidP="00BA4A2D">
            <w:pPr>
              <w:widowControl w:val="0"/>
              <w:spacing w:after="0" w:line="240" w:lineRule="auto"/>
              <w:jc w:val="right"/>
            </w:pPr>
            <w:r>
              <w:t>1</w:t>
            </w:r>
          </w:p>
        </w:tc>
        <w:tc>
          <w:tcPr>
            <w:tcW w:w="1106" w:type="dxa"/>
          </w:tcPr>
          <w:p w14:paraId="3C9A6E24" w14:textId="74AC5B7C" w:rsidR="00004DF6" w:rsidRDefault="00004DF6" w:rsidP="00BA4A2D">
            <w:pPr>
              <w:widowControl w:val="0"/>
              <w:spacing w:after="0" w:line="240" w:lineRule="auto"/>
              <w:jc w:val="right"/>
            </w:pPr>
            <w:r>
              <w:t>.309</w:t>
            </w:r>
          </w:p>
        </w:tc>
        <w:tc>
          <w:tcPr>
            <w:tcW w:w="1531" w:type="dxa"/>
          </w:tcPr>
          <w:p w14:paraId="0B8037C5" w14:textId="39379AE8" w:rsidR="00004DF6" w:rsidRDefault="00004DF6" w:rsidP="00BA4A2D">
            <w:pPr>
              <w:widowControl w:val="0"/>
              <w:spacing w:after="0" w:line="240" w:lineRule="auto"/>
              <w:jc w:val="right"/>
            </w:pPr>
            <w:r>
              <w:t>.836</w:t>
            </w:r>
          </w:p>
        </w:tc>
      </w:tr>
      <w:tr w:rsidR="00004DF6" w14:paraId="17E9934E" w14:textId="77777777" w:rsidTr="00BA4A2D">
        <w:trPr>
          <w:trHeight w:hRule="exact" w:val="261"/>
        </w:trPr>
        <w:tc>
          <w:tcPr>
            <w:tcW w:w="1347" w:type="dxa"/>
          </w:tcPr>
          <w:p w14:paraId="7558503A" w14:textId="72D6D154" w:rsidR="00004DF6" w:rsidRPr="00D47535" w:rsidRDefault="00004DF6" w:rsidP="00BA4A2D">
            <w:pPr>
              <w:widowControl w:val="0"/>
              <w:spacing w:after="0" w:line="240" w:lineRule="auto"/>
              <w:rPr>
                <w:iCs/>
                <w:vertAlign w:val="superscript"/>
              </w:rPr>
            </w:pPr>
            <w:r w:rsidRPr="00D47535">
              <w:rPr>
                <w:iCs/>
              </w:rPr>
              <w:t>ME</w:t>
            </w:r>
          </w:p>
        </w:tc>
        <w:tc>
          <w:tcPr>
            <w:tcW w:w="1337" w:type="dxa"/>
          </w:tcPr>
          <w:p w14:paraId="580AC3E5" w14:textId="120E39B9" w:rsidR="00004DF6" w:rsidRDefault="00004DF6" w:rsidP="00BA4A2D">
            <w:pPr>
              <w:widowControl w:val="0"/>
              <w:spacing w:after="0" w:line="240" w:lineRule="auto"/>
              <w:jc w:val="right"/>
            </w:pPr>
            <w:r>
              <w:t>5.778</w:t>
            </w:r>
          </w:p>
        </w:tc>
        <w:tc>
          <w:tcPr>
            <w:tcW w:w="1664" w:type="dxa"/>
          </w:tcPr>
          <w:p w14:paraId="300A07BA" w14:textId="7EEB12E3" w:rsidR="00004DF6" w:rsidRDefault="00004DF6" w:rsidP="00BA4A2D">
            <w:pPr>
              <w:widowControl w:val="0"/>
              <w:spacing w:after="0" w:line="240" w:lineRule="auto"/>
              <w:jc w:val="right"/>
            </w:pPr>
            <w:r>
              <w:t>2.817</w:t>
            </w:r>
          </w:p>
        </w:tc>
        <w:tc>
          <w:tcPr>
            <w:tcW w:w="1291" w:type="dxa"/>
          </w:tcPr>
          <w:p w14:paraId="0BD734C1" w14:textId="51CA93C2" w:rsidR="00004DF6" w:rsidRDefault="00004DF6" w:rsidP="00BA4A2D">
            <w:pPr>
              <w:widowControl w:val="0"/>
              <w:spacing w:after="0" w:line="240" w:lineRule="auto"/>
              <w:jc w:val="right"/>
            </w:pPr>
            <w:r>
              <w:t>4.209</w:t>
            </w:r>
          </w:p>
        </w:tc>
        <w:tc>
          <w:tcPr>
            <w:tcW w:w="1084" w:type="dxa"/>
          </w:tcPr>
          <w:p w14:paraId="5A0F7CD8" w14:textId="77777777" w:rsidR="00004DF6" w:rsidRDefault="00004DF6" w:rsidP="00BA4A2D">
            <w:pPr>
              <w:widowControl w:val="0"/>
              <w:spacing w:after="0" w:line="240" w:lineRule="auto"/>
              <w:jc w:val="right"/>
            </w:pPr>
            <w:r>
              <w:t>1</w:t>
            </w:r>
          </w:p>
        </w:tc>
        <w:tc>
          <w:tcPr>
            <w:tcW w:w="1106" w:type="dxa"/>
          </w:tcPr>
          <w:p w14:paraId="1F35552B" w14:textId="3E712370" w:rsidR="00004DF6" w:rsidRDefault="00004DF6" w:rsidP="00BA4A2D">
            <w:pPr>
              <w:widowControl w:val="0"/>
              <w:spacing w:after="0" w:line="240" w:lineRule="auto"/>
              <w:jc w:val="right"/>
            </w:pPr>
            <w:r>
              <w:t>.040</w:t>
            </w:r>
          </w:p>
        </w:tc>
        <w:tc>
          <w:tcPr>
            <w:tcW w:w="1531" w:type="dxa"/>
          </w:tcPr>
          <w:p w14:paraId="5C111F45" w14:textId="16FF61D2" w:rsidR="00004DF6" w:rsidRDefault="00004DF6" w:rsidP="00BA4A2D">
            <w:pPr>
              <w:widowControl w:val="0"/>
              <w:spacing w:after="0" w:line="240" w:lineRule="auto"/>
              <w:jc w:val="right"/>
            </w:pPr>
            <w:r>
              <w:t>323.24</w:t>
            </w:r>
          </w:p>
        </w:tc>
      </w:tr>
      <w:tr w:rsidR="00004DF6" w14:paraId="3F49AE31" w14:textId="77777777" w:rsidTr="00BA4A2D">
        <w:trPr>
          <w:trHeight w:hRule="exact" w:val="279"/>
        </w:trPr>
        <w:tc>
          <w:tcPr>
            <w:tcW w:w="1347" w:type="dxa"/>
          </w:tcPr>
          <w:p w14:paraId="76C4C6C3" w14:textId="7BD064B6" w:rsidR="00004DF6" w:rsidRPr="00D47535" w:rsidRDefault="00004DF6" w:rsidP="00BA4A2D">
            <w:pPr>
              <w:widowControl w:val="0"/>
              <w:spacing w:after="0" w:line="240" w:lineRule="auto"/>
              <w:rPr>
                <w:iCs/>
                <w:vertAlign w:val="superscript"/>
              </w:rPr>
            </w:pPr>
            <w:r w:rsidRPr="00D47535">
              <w:rPr>
                <w:iCs/>
              </w:rPr>
              <w:t>VL</w:t>
            </w:r>
          </w:p>
        </w:tc>
        <w:tc>
          <w:tcPr>
            <w:tcW w:w="1337" w:type="dxa"/>
          </w:tcPr>
          <w:p w14:paraId="760A2637" w14:textId="4528932A" w:rsidR="00004DF6" w:rsidRDefault="00004DF6" w:rsidP="00BA4A2D">
            <w:pPr>
              <w:widowControl w:val="0"/>
              <w:spacing w:after="0" w:line="240" w:lineRule="auto"/>
              <w:jc w:val="right"/>
            </w:pPr>
            <w:r>
              <w:t>2.220</w:t>
            </w:r>
          </w:p>
        </w:tc>
        <w:tc>
          <w:tcPr>
            <w:tcW w:w="1664" w:type="dxa"/>
          </w:tcPr>
          <w:p w14:paraId="7E690416" w14:textId="2F0C04EB" w:rsidR="00004DF6" w:rsidRDefault="00004DF6" w:rsidP="00BA4A2D">
            <w:pPr>
              <w:widowControl w:val="0"/>
              <w:spacing w:after="0" w:line="240" w:lineRule="auto"/>
              <w:jc w:val="right"/>
            </w:pPr>
            <w:r>
              <w:t>2.304</w:t>
            </w:r>
          </w:p>
        </w:tc>
        <w:tc>
          <w:tcPr>
            <w:tcW w:w="1291" w:type="dxa"/>
          </w:tcPr>
          <w:p w14:paraId="1DCEC6CA" w14:textId="137A6F53" w:rsidR="00004DF6" w:rsidRDefault="00004DF6" w:rsidP="00BA4A2D">
            <w:pPr>
              <w:widowControl w:val="0"/>
              <w:spacing w:after="0" w:line="240" w:lineRule="auto"/>
              <w:jc w:val="right"/>
            </w:pPr>
            <w:r>
              <w:t>.928</w:t>
            </w:r>
          </w:p>
        </w:tc>
        <w:tc>
          <w:tcPr>
            <w:tcW w:w="1084" w:type="dxa"/>
          </w:tcPr>
          <w:p w14:paraId="20AD0488" w14:textId="77777777" w:rsidR="00004DF6" w:rsidRDefault="00004DF6" w:rsidP="00BA4A2D">
            <w:pPr>
              <w:widowControl w:val="0"/>
              <w:spacing w:after="0" w:line="240" w:lineRule="auto"/>
              <w:jc w:val="right"/>
            </w:pPr>
            <w:r>
              <w:t>1</w:t>
            </w:r>
          </w:p>
        </w:tc>
        <w:tc>
          <w:tcPr>
            <w:tcW w:w="1106" w:type="dxa"/>
          </w:tcPr>
          <w:p w14:paraId="2893A462" w14:textId="2743D9BA" w:rsidR="00004DF6" w:rsidRDefault="00004DF6" w:rsidP="00BA4A2D">
            <w:pPr>
              <w:widowControl w:val="0"/>
              <w:spacing w:after="0" w:line="240" w:lineRule="auto"/>
              <w:jc w:val="right"/>
            </w:pPr>
            <w:r>
              <w:t>.335</w:t>
            </w:r>
          </w:p>
        </w:tc>
        <w:tc>
          <w:tcPr>
            <w:tcW w:w="1531" w:type="dxa"/>
          </w:tcPr>
          <w:p w14:paraId="43160850" w14:textId="3B2757F1" w:rsidR="00004DF6" w:rsidRDefault="00004DF6" w:rsidP="00BA4A2D">
            <w:pPr>
              <w:widowControl w:val="0"/>
              <w:spacing w:after="0" w:line="240" w:lineRule="auto"/>
              <w:jc w:val="right"/>
            </w:pPr>
            <w:r>
              <w:t>9.208</w:t>
            </w:r>
          </w:p>
        </w:tc>
      </w:tr>
      <w:tr w:rsidR="00004DF6" w14:paraId="12E74E88" w14:textId="77777777" w:rsidTr="00BA4A2D">
        <w:trPr>
          <w:trHeight w:hRule="exact" w:val="261"/>
        </w:trPr>
        <w:tc>
          <w:tcPr>
            <w:tcW w:w="1347" w:type="dxa"/>
          </w:tcPr>
          <w:p w14:paraId="08AC726F" w14:textId="3F624EFD" w:rsidR="00004DF6" w:rsidRPr="00D47535" w:rsidRDefault="00004DF6" w:rsidP="00BA4A2D">
            <w:pPr>
              <w:widowControl w:val="0"/>
              <w:spacing w:after="0" w:line="240" w:lineRule="auto"/>
              <w:rPr>
                <w:iCs/>
                <w:vertAlign w:val="superscript"/>
              </w:rPr>
            </w:pPr>
            <w:r w:rsidRPr="00D47535">
              <w:rPr>
                <w:iCs/>
              </w:rPr>
              <w:t>SP</w:t>
            </w:r>
          </w:p>
        </w:tc>
        <w:tc>
          <w:tcPr>
            <w:tcW w:w="1337" w:type="dxa"/>
          </w:tcPr>
          <w:p w14:paraId="5AAEBDA0" w14:textId="352E97DA" w:rsidR="00004DF6" w:rsidRDefault="00004DF6" w:rsidP="00BA4A2D">
            <w:pPr>
              <w:widowControl w:val="0"/>
              <w:spacing w:after="0" w:line="240" w:lineRule="auto"/>
              <w:jc w:val="right"/>
            </w:pPr>
            <w:r>
              <w:t>-2.168</w:t>
            </w:r>
          </w:p>
        </w:tc>
        <w:tc>
          <w:tcPr>
            <w:tcW w:w="1664" w:type="dxa"/>
          </w:tcPr>
          <w:p w14:paraId="7CAD90E4" w14:textId="51F8C6B9" w:rsidR="00004DF6" w:rsidRDefault="00004DF6" w:rsidP="00BA4A2D">
            <w:pPr>
              <w:widowControl w:val="0"/>
              <w:spacing w:after="0" w:line="240" w:lineRule="auto"/>
              <w:jc w:val="right"/>
            </w:pPr>
            <w:r>
              <w:t>1.665</w:t>
            </w:r>
          </w:p>
        </w:tc>
        <w:tc>
          <w:tcPr>
            <w:tcW w:w="1291" w:type="dxa"/>
          </w:tcPr>
          <w:p w14:paraId="299C7F01" w14:textId="3C2FB660" w:rsidR="00004DF6" w:rsidRDefault="00004DF6" w:rsidP="00BA4A2D">
            <w:pPr>
              <w:widowControl w:val="0"/>
              <w:spacing w:after="0" w:line="240" w:lineRule="auto"/>
              <w:jc w:val="right"/>
            </w:pPr>
            <w:r>
              <w:t>1.694</w:t>
            </w:r>
          </w:p>
        </w:tc>
        <w:tc>
          <w:tcPr>
            <w:tcW w:w="1084" w:type="dxa"/>
          </w:tcPr>
          <w:p w14:paraId="73C10CB9" w14:textId="77777777" w:rsidR="00004DF6" w:rsidRDefault="00004DF6" w:rsidP="00BA4A2D">
            <w:pPr>
              <w:widowControl w:val="0"/>
              <w:spacing w:after="0" w:line="240" w:lineRule="auto"/>
              <w:jc w:val="right"/>
            </w:pPr>
            <w:r>
              <w:t>1</w:t>
            </w:r>
          </w:p>
        </w:tc>
        <w:tc>
          <w:tcPr>
            <w:tcW w:w="1106" w:type="dxa"/>
          </w:tcPr>
          <w:p w14:paraId="5011FA5C" w14:textId="2C0E5D59" w:rsidR="00004DF6" w:rsidRDefault="00004DF6" w:rsidP="00BA4A2D">
            <w:pPr>
              <w:widowControl w:val="0"/>
              <w:spacing w:after="0" w:line="240" w:lineRule="auto"/>
              <w:jc w:val="right"/>
            </w:pPr>
            <w:r>
              <w:t>.193</w:t>
            </w:r>
          </w:p>
        </w:tc>
        <w:tc>
          <w:tcPr>
            <w:tcW w:w="1531" w:type="dxa"/>
          </w:tcPr>
          <w:p w14:paraId="5CBE7DA7" w14:textId="3C770C35" w:rsidR="00004DF6" w:rsidRDefault="00004DF6" w:rsidP="00BA4A2D">
            <w:pPr>
              <w:widowControl w:val="0"/>
              <w:spacing w:after="0" w:line="240" w:lineRule="auto"/>
              <w:jc w:val="right"/>
            </w:pPr>
            <w:r>
              <w:t>.114</w:t>
            </w:r>
          </w:p>
        </w:tc>
      </w:tr>
      <w:tr w:rsidR="00004DF6" w14:paraId="18E6DE16" w14:textId="77777777" w:rsidTr="00BA4A2D">
        <w:trPr>
          <w:trHeight w:hRule="exact" w:val="279"/>
        </w:trPr>
        <w:tc>
          <w:tcPr>
            <w:tcW w:w="1347" w:type="dxa"/>
            <w:tcBorders>
              <w:bottom w:val="single" w:sz="4" w:space="0" w:color="auto"/>
            </w:tcBorders>
          </w:tcPr>
          <w:p w14:paraId="4EBC693C" w14:textId="13456066" w:rsidR="00004DF6" w:rsidRPr="00D47535" w:rsidRDefault="00004DF6" w:rsidP="00BA4A2D">
            <w:pPr>
              <w:widowControl w:val="0"/>
              <w:spacing w:after="0" w:line="240" w:lineRule="auto"/>
              <w:rPr>
                <w:iCs/>
                <w:vertAlign w:val="superscript"/>
              </w:rPr>
            </w:pPr>
            <w:r w:rsidRPr="00D47535">
              <w:rPr>
                <w:iCs/>
              </w:rPr>
              <w:t>PS</w:t>
            </w:r>
          </w:p>
        </w:tc>
        <w:tc>
          <w:tcPr>
            <w:tcW w:w="1337" w:type="dxa"/>
            <w:tcBorders>
              <w:bottom w:val="single" w:sz="4" w:space="0" w:color="auto"/>
            </w:tcBorders>
          </w:tcPr>
          <w:p w14:paraId="2D1DF49F" w14:textId="5F2A646B" w:rsidR="00004DF6" w:rsidRDefault="00004DF6" w:rsidP="00BA4A2D">
            <w:pPr>
              <w:widowControl w:val="0"/>
              <w:spacing w:after="0" w:line="240" w:lineRule="auto"/>
              <w:jc w:val="right"/>
            </w:pPr>
            <w:r>
              <w:t>.716</w:t>
            </w:r>
          </w:p>
        </w:tc>
        <w:tc>
          <w:tcPr>
            <w:tcW w:w="1664" w:type="dxa"/>
            <w:tcBorders>
              <w:bottom w:val="single" w:sz="4" w:space="0" w:color="auto"/>
            </w:tcBorders>
          </w:tcPr>
          <w:p w14:paraId="713E38B9" w14:textId="37EBD340" w:rsidR="00004DF6" w:rsidRDefault="00004DF6" w:rsidP="00BA4A2D">
            <w:pPr>
              <w:widowControl w:val="0"/>
              <w:spacing w:after="0" w:line="240" w:lineRule="auto"/>
              <w:jc w:val="right"/>
            </w:pPr>
            <w:r>
              <w:t>1.320</w:t>
            </w:r>
          </w:p>
        </w:tc>
        <w:tc>
          <w:tcPr>
            <w:tcW w:w="1291" w:type="dxa"/>
            <w:tcBorders>
              <w:bottom w:val="single" w:sz="4" w:space="0" w:color="auto"/>
            </w:tcBorders>
          </w:tcPr>
          <w:p w14:paraId="7B12FD8D" w14:textId="127DD3A0" w:rsidR="00004DF6" w:rsidRDefault="00004DF6" w:rsidP="00BA4A2D">
            <w:pPr>
              <w:widowControl w:val="0"/>
              <w:spacing w:after="0" w:line="240" w:lineRule="auto"/>
              <w:jc w:val="right"/>
            </w:pPr>
            <w:r>
              <w:t>.294</w:t>
            </w:r>
          </w:p>
        </w:tc>
        <w:tc>
          <w:tcPr>
            <w:tcW w:w="1084" w:type="dxa"/>
            <w:tcBorders>
              <w:bottom w:val="single" w:sz="4" w:space="0" w:color="auto"/>
            </w:tcBorders>
          </w:tcPr>
          <w:p w14:paraId="2295FD3D" w14:textId="77777777" w:rsidR="00004DF6" w:rsidRDefault="00004DF6" w:rsidP="00BA4A2D">
            <w:pPr>
              <w:widowControl w:val="0"/>
              <w:spacing w:after="0" w:line="240" w:lineRule="auto"/>
              <w:jc w:val="right"/>
            </w:pPr>
            <w:r>
              <w:t>1</w:t>
            </w:r>
          </w:p>
        </w:tc>
        <w:tc>
          <w:tcPr>
            <w:tcW w:w="1106" w:type="dxa"/>
            <w:tcBorders>
              <w:bottom w:val="single" w:sz="4" w:space="0" w:color="auto"/>
            </w:tcBorders>
          </w:tcPr>
          <w:p w14:paraId="6F20E01A" w14:textId="41538582" w:rsidR="00004DF6" w:rsidRDefault="00004DF6" w:rsidP="00BA4A2D">
            <w:pPr>
              <w:widowControl w:val="0"/>
              <w:spacing w:after="0" w:line="240" w:lineRule="auto"/>
              <w:jc w:val="right"/>
            </w:pPr>
            <w:r>
              <w:t>.587</w:t>
            </w:r>
          </w:p>
        </w:tc>
        <w:tc>
          <w:tcPr>
            <w:tcW w:w="1531" w:type="dxa"/>
            <w:tcBorders>
              <w:bottom w:val="single" w:sz="4" w:space="0" w:color="auto"/>
            </w:tcBorders>
          </w:tcPr>
          <w:p w14:paraId="5B424892" w14:textId="38A95ECD" w:rsidR="00004DF6" w:rsidRDefault="00004DF6" w:rsidP="00BA4A2D">
            <w:pPr>
              <w:widowControl w:val="0"/>
              <w:spacing w:after="0" w:line="240" w:lineRule="auto"/>
              <w:jc w:val="right"/>
            </w:pPr>
            <w:r>
              <w:t>2.047</w:t>
            </w:r>
          </w:p>
        </w:tc>
      </w:tr>
    </w:tbl>
    <w:p w14:paraId="5B38710D" w14:textId="73485D4D" w:rsidR="00D47535" w:rsidRPr="005D2117" w:rsidRDefault="0000688B" w:rsidP="00BA4A2D">
      <w:pPr>
        <w:widowControl w:val="0"/>
        <w:spacing w:after="0" w:line="480" w:lineRule="auto"/>
        <w:rPr>
          <w:rFonts w:ascii="Times New Roman" w:hAnsi="Times New Roman" w:cs="Times New Roman"/>
          <w:sz w:val="24"/>
          <w:szCs w:val="24"/>
        </w:rPr>
      </w:pPr>
      <w:bookmarkStart w:id="57" w:name="_Toc349720655"/>
      <w:bookmarkStart w:id="58" w:name="_Toc350241699"/>
      <w:bookmarkStart w:id="59" w:name="_Toc351528720"/>
      <w:r w:rsidRPr="00BA4A2D">
        <w:rPr>
          <w:rFonts w:ascii="Times New Roman" w:hAnsi="Times New Roman" w:cs="Times New Roman"/>
          <w:i/>
          <w:sz w:val="24"/>
          <w:szCs w:val="24"/>
        </w:rPr>
        <w:t>Note</w:t>
      </w:r>
      <w:r w:rsidRPr="00BA4A2D">
        <w:rPr>
          <w:rFonts w:ascii="Times New Roman" w:hAnsi="Times New Roman" w:cs="Times New Roman"/>
          <w:sz w:val="24"/>
          <w:szCs w:val="24"/>
        </w:rPr>
        <w:t xml:space="preserve">. S1G = semester one grade, coded from A+ =12 to F = 0. </w:t>
      </w:r>
      <w:r w:rsidR="0076098D" w:rsidRPr="00BA4A2D">
        <w:rPr>
          <w:rFonts w:ascii="Times New Roman" w:hAnsi="Times New Roman" w:cs="Times New Roman"/>
          <w:sz w:val="24"/>
          <w:szCs w:val="24"/>
        </w:rPr>
        <w:t xml:space="preserve">PKG = physics knowledge growth is measured on the </w:t>
      </w:r>
      <w:r w:rsidR="005D2117" w:rsidRPr="00BA4A2D">
        <w:rPr>
          <w:rFonts w:ascii="Times New Roman" w:hAnsi="Times New Roman" w:cs="Times New Roman"/>
          <w:sz w:val="24"/>
          <w:szCs w:val="24"/>
        </w:rPr>
        <w:t>FCI</w:t>
      </w:r>
      <w:r w:rsidR="0076098D" w:rsidRPr="00BA4A2D">
        <w:rPr>
          <w:rFonts w:ascii="Times New Roman" w:hAnsi="Times New Roman" w:cs="Times New Roman"/>
          <w:sz w:val="24"/>
          <w:szCs w:val="24"/>
        </w:rPr>
        <w:t xml:space="preserve"> assessment and scored numerically from 0 to 30, post-course score minus pre-course score. </w:t>
      </w:r>
      <w:r w:rsidR="005D2117" w:rsidRPr="005D2117">
        <w:rPr>
          <w:rFonts w:ascii="Times New Roman" w:hAnsi="Times New Roman" w:cs="Times New Roman"/>
          <w:sz w:val="24"/>
          <w:szCs w:val="24"/>
        </w:rPr>
        <w:t>ME = level of self-efficacy due to mastery experience, VL = level of self-efficacy due to vicarious learning, SP = level of self-efficacy due to social persuasion, PS = level of self-efficacy due to physiological state. ME, VL, SP, and PS were scored on a 1 to 5 Likert scale.</w:t>
      </w:r>
    </w:p>
    <w:p w14:paraId="63F4398B" w14:textId="118AA51A" w:rsidR="003F2B44" w:rsidRPr="00675C36" w:rsidRDefault="003F2B44" w:rsidP="003F7FE4">
      <w:pPr>
        <w:pStyle w:val="Heading2"/>
      </w:pPr>
      <w:bookmarkStart w:id="60" w:name="_Toc117501932"/>
      <w:r w:rsidRPr="00675C36">
        <w:lastRenderedPageBreak/>
        <w:t>Summary</w:t>
      </w:r>
      <w:bookmarkEnd w:id="57"/>
      <w:bookmarkEnd w:id="58"/>
      <w:bookmarkEnd w:id="59"/>
      <w:bookmarkEnd w:id="60"/>
    </w:p>
    <w:p w14:paraId="111CA397" w14:textId="0FB13377" w:rsidR="005B42FC" w:rsidRDefault="00ED491F" w:rsidP="00BA4A2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AB081B">
        <w:rPr>
          <w:rFonts w:ascii="Times New Roman" w:hAnsi="Times New Roman" w:cs="Times New Roman"/>
          <w:sz w:val="24"/>
          <w:szCs w:val="24"/>
        </w:rPr>
        <w:t xml:space="preserve">data and </w:t>
      </w:r>
      <w:r>
        <w:rPr>
          <w:rFonts w:ascii="Times New Roman" w:hAnsi="Times New Roman" w:cs="Times New Roman"/>
          <w:sz w:val="24"/>
          <w:szCs w:val="24"/>
        </w:rPr>
        <w:t xml:space="preserve">results presented in </w:t>
      </w:r>
      <w:r w:rsidR="006B3725">
        <w:rPr>
          <w:rFonts w:ascii="Times New Roman" w:hAnsi="Times New Roman" w:cs="Times New Roman"/>
          <w:sz w:val="24"/>
          <w:szCs w:val="24"/>
        </w:rPr>
        <w:t>C</w:t>
      </w:r>
      <w:r>
        <w:rPr>
          <w:rFonts w:ascii="Times New Roman" w:hAnsi="Times New Roman" w:cs="Times New Roman"/>
          <w:sz w:val="24"/>
          <w:szCs w:val="24"/>
        </w:rPr>
        <w:t xml:space="preserve">hapter 4 addressed two research questions aimed at </w:t>
      </w:r>
      <w:r w:rsidR="00A10EB5">
        <w:rPr>
          <w:rFonts w:ascii="Times New Roman" w:hAnsi="Times New Roman" w:cs="Times New Roman"/>
          <w:sz w:val="24"/>
          <w:szCs w:val="24"/>
        </w:rPr>
        <w:t>exploring</w:t>
      </w:r>
      <w:r>
        <w:rPr>
          <w:rFonts w:ascii="Times New Roman" w:hAnsi="Times New Roman" w:cs="Times New Roman"/>
          <w:sz w:val="24"/>
          <w:szCs w:val="24"/>
        </w:rPr>
        <w:t xml:space="preserve"> the role self-efficacy plays in the enrollment </w:t>
      </w:r>
      <w:r w:rsidR="00A10EB5">
        <w:rPr>
          <w:rFonts w:ascii="Times New Roman" w:hAnsi="Times New Roman" w:cs="Times New Roman"/>
          <w:sz w:val="24"/>
          <w:szCs w:val="24"/>
        </w:rPr>
        <w:t>decisions</w:t>
      </w:r>
      <w:r>
        <w:rPr>
          <w:rFonts w:ascii="Times New Roman" w:hAnsi="Times New Roman" w:cs="Times New Roman"/>
          <w:sz w:val="24"/>
          <w:szCs w:val="24"/>
        </w:rPr>
        <w:t xml:space="preserve"> of students in a second year of high school physics. </w:t>
      </w:r>
      <w:r w:rsidR="00AB081B">
        <w:rPr>
          <w:rFonts w:ascii="Times New Roman" w:hAnsi="Times New Roman" w:cs="Times New Roman"/>
          <w:sz w:val="24"/>
          <w:szCs w:val="24"/>
        </w:rPr>
        <w:t xml:space="preserve">Descriptive statistics on the participants were presented and a discussion of data </w:t>
      </w:r>
      <w:r w:rsidR="00A10EB5">
        <w:rPr>
          <w:rFonts w:ascii="Times New Roman" w:hAnsi="Times New Roman" w:cs="Times New Roman"/>
          <w:sz w:val="24"/>
          <w:szCs w:val="24"/>
        </w:rPr>
        <w:t>screening</w:t>
      </w:r>
      <w:r w:rsidR="00AB081B">
        <w:rPr>
          <w:rFonts w:ascii="Times New Roman" w:hAnsi="Times New Roman" w:cs="Times New Roman"/>
          <w:sz w:val="24"/>
          <w:szCs w:val="24"/>
        </w:rPr>
        <w:t xml:space="preserve"> process was explained. The 120 cases </w:t>
      </w:r>
      <w:r w:rsidR="00DC5C57">
        <w:rPr>
          <w:rFonts w:ascii="Times New Roman" w:hAnsi="Times New Roman" w:cs="Times New Roman"/>
          <w:sz w:val="24"/>
          <w:szCs w:val="24"/>
        </w:rPr>
        <w:t xml:space="preserve">used in the inferential portion of the study </w:t>
      </w:r>
      <w:r w:rsidR="00AB081B">
        <w:rPr>
          <w:rFonts w:ascii="Times New Roman" w:hAnsi="Times New Roman" w:cs="Times New Roman"/>
          <w:sz w:val="24"/>
          <w:szCs w:val="24"/>
        </w:rPr>
        <w:t>allowed for the generation of three models</w:t>
      </w:r>
      <w:r w:rsidR="00724B8D">
        <w:rPr>
          <w:rFonts w:ascii="Times New Roman" w:hAnsi="Times New Roman" w:cs="Times New Roman"/>
          <w:sz w:val="24"/>
          <w:szCs w:val="24"/>
        </w:rPr>
        <w:t>—</w:t>
      </w:r>
      <w:r w:rsidR="00DC5C57">
        <w:rPr>
          <w:rFonts w:ascii="Times New Roman" w:hAnsi="Times New Roman" w:cs="Times New Roman"/>
          <w:sz w:val="24"/>
          <w:szCs w:val="24"/>
        </w:rPr>
        <w:t>o</w:t>
      </w:r>
      <w:r>
        <w:rPr>
          <w:rFonts w:ascii="Times New Roman" w:hAnsi="Times New Roman" w:cs="Times New Roman"/>
          <w:sz w:val="24"/>
          <w:szCs w:val="24"/>
        </w:rPr>
        <w:t>ne that included all cases and two others that were sp</w:t>
      </w:r>
      <w:r w:rsidR="00DC5C57">
        <w:rPr>
          <w:rFonts w:ascii="Times New Roman" w:hAnsi="Times New Roman" w:cs="Times New Roman"/>
          <w:sz w:val="24"/>
          <w:szCs w:val="24"/>
        </w:rPr>
        <w:t>l</w:t>
      </w:r>
      <w:r>
        <w:rPr>
          <w:rFonts w:ascii="Times New Roman" w:hAnsi="Times New Roman" w:cs="Times New Roman"/>
          <w:sz w:val="24"/>
          <w:szCs w:val="24"/>
        </w:rPr>
        <w:t xml:space="preserve">it by gender identification. </w:t>
      </w:r>
    </w:p>
    <w:p w14:paraId="084ED28B" w14:textId="4C050790" w:rsidR="005B42FC" w:rsidRDefault="003B0BCA" w:rsidP="00BA4A2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733632">
        <w:rPr>
          <w:rFonts w:ascii="Times New Roman" w:hAnsi="Times New Roman" w:cs="Times New Roman"/>
          <w:sz w:val="24"/>
          <w:szCs w:val="24"/>
        </w:rPr>
        <w:t xml:space="preserve">results </w:t>
      </w:r>
      <w:r>
        <w:rPr>
          <w:rFonts w:ascii="Times New Roman" w:hAnsi="Times New Roman" w:cs="Times New Roman"/>
          <w:sz w:val="24"/>
          <w:szCs w:val="24"/>
        </w:rPr>
        <w:t>showed that in all three models the control variables of semester one grade, and physics knowledge growth we</w:t>
      </w:r>
      <w:r w:rsidR="00733632">
        <w:rPr>
          <w:rFonts w:ascii="Times New Roman" w:hAnsi="Times New Roman" w:cs="Times New Roman"/>
          <w:sz w:val="24"/>
          <w:szCs w:val="24"/>
        </w:rPr>
        <w:t>re</w:t>
      </w:r>
      <w:r>
        <w:rPr>
          <w:rFonts w:ascii="Times New Roman" w:hAnsi="Times New Roman" w:cs="Times New Roman"/>
          <w:sz w:val="24"/>
          <w:szCs w:val="24"/>
        </w:rPr>
        <w:t xml:space="preserve"> not individually statistically significant</w:t>
      </w:r>
      <w:r w:rsidR="00733632">
        <w:rPr>
          <w:rFonts w:ascii="Times New Roman" w:hAnsi="Times New Roman" w:cs="Times New Roman"/>
          <w:sz w:val="24"/>
          <w:szCs w:val="24"/>
        </w:rPr>
        <w:t xml:space="preserve"> predictors of advanced high school physics enrollment.</w:t>
      </w:r>
      <w:r>
        <w:rPr>
          <w:rFonts w:ascii="Times New Roman" w:hAnsi="Times New Roman" w:cs="Times New Roman"/>
          <w:sz w:val="24"/>
          <w:szCs w:val="24"/>
        </w:rPr>
        <w:t xml:space="preserve"> </w:t>
      </w:r>
      <w:r w:rsidR="00733632">
        <w:rPr>
          <w:rFonts w:ascii="Times New Roman" w:hAnsi="Times New Roman" w:cs="Times New Roman"/>
          <w:sz w:val="24"/>
          <w:szCs w:val="24"/>
        </w:rPr>
        <w:t xml:space="preserve">More importantly, for the purpose of the current study, </w:t>
      </w:r>
      <w:r w:rsidR="00EC14FF">
        <w:rPr>
          <w:rFonts w:ascii="Times New Roman" w:hAnsi="Times New Roman" w:cs="Times New Roman"/>
          <w:sz w:val="24"/>
          <w:szCs w:val="24"/>
        </w:rPr>
        <w:t>the self</w:t>
      </w:r>
      <w:r w:rsidR="00981691">
        <w:rPr>
          <w:rFonts w:ascii="Times New Roman" w:hAnsi="Times New Roman" w:cs="Times New Roman"/>
          <w:sz w:val="24"/>
          <w:szCs w:val="24"/>
        </w:rPr>
        <w:t>-</w:t>
      </w:r>
      <w:r w:rsidR="00EE155E">
        <w:rPr>
          <w:rFonts w:ascii="Times New Roman" w:hAnsi="Times New Roman" w:cs="Times New Roman"/>
          <w:sz w:val="24"/>
          <w:szCs w:val="24"/>
        </w:rPr>
        <w:t>efficacy</w:t>
      </w:r>
      <w:r w:rsidR="00EC14FF">
        <w:rPr>
          <w:rFonts w:ascii="Times New Roman" w:hAnsi="Times New Roman" w:cs="Times New Roman"/>
          <w:sz w:val="24"/>
          <w:szCs w:val="24"/>
        </w:rPr>
        <w:t xml:space="preserve"> variables of </w:t>
      </w:r>
      <w:r>
        <w:rPr>
          <w:rFonts w:ascii="Times New Roman" w:hAnsi="Times New Roman" w:cs="Times New Roman"/>
          <w:sz w:val="24"/>
          <w:szCs w:val="24"/>
        </w:rPr>
        <w:t xml:space="preserve">vicarious learning, social </w:t>
      </w:r>
      <w:r w:rsidR="00A10EB5">
        <w:rPr>
          <w:rFonts w:ascii="Times New Roman" w:hAnsi="Times New Roman" w:cs="Times New Roman"/>
          <w:sz w:val="24"/>
          <w:szCs w:val="24"/>
        </w:rPr>
        <w:t>persuasion</w:t>
      </w:r>
      <w:r>
        <w:rPr>
          <w:rFonts w:ascii="Times New Roman" w:hAnsi="Times New Roman" w:cs="Times New Roman"/>
          <w:sz w:val="24"/>
          <w:szCs w:val="24"/>
        </w:rPr>
        <w:t>, and physiological state were not statistically significant predict</w:t>
      </w:r>
      <w:r w:rsidR="00EC14FF">
        <w:rPr>
          <w:rFonts w:ascii="Times New Roman" w:hAnsi="Times New Roman" w:cs="Times New Roman"/>
          <w:sz w:val="24"/>
          <w:szCs w:val="24"/>
        </w:rPr>
        <w:t>ive</w:t>
      </w:r>
      <w:r>
        <w:rPr>
          <w:rFonts w:ascii="Times New Roman" w:hAnsi="Times New Roman" w:cs="Times New Roman"/>
          <w:sz w:val="24"/>
          <w:szCs w:val="24"/>
        </w:rPr>
        <w:t xml:space="preserve"> of </w:t>
      </w:r>
      <w:r w:rsidR="00EC14FF">
        <w:rPr>
          <w:rFonts w:ascii="Times New Roman" w:hAnsi="Times New Roman" w:cs="Times New Roman"/>
          <w:sz w:val="24"/>
          <w:szCs w:val="24"/>
        </w:rPr>
        <w:t xml:space="preserve">advanced </w:t>
      </w:r>
      <w:r>
        <w:rPr>
          <w:rFonts w:ascii="Times New Roman" w:hAnsi="Times New Roman" w:cs="Times New Roman"/>
          <w:sz w:val="24"/>
          <w:szCs w:val="24"/>
        </w:rPr>
        <w:t xml:space="preserve">physics enrollment. Only self-efficacy </w:t>
      </w:r>
      <w:r w:rsidR="00EC14FF">
        <w:rPr>
          <w:rFonts w:ascii="Times New Roman" w:hAnsi="Times New Roman" w:cs="Times New Roman"/>
          <w:sz w:val="24"/>
          <w:szCs w:val="24"/>
        </w:rPr>
        <w:t>factor of</w:t>
      </w:r>
      <w:r>
        <w:rPr>
          <w:rFonts w:ascii="Times New Roman" w:hAnsi="Times New Roman" w:cs="Times New Roman"/>
          <w:sz w:val="24"/>
          <w:szCs w:val="24"/>
        </w:rPr>
        <w:t xml:space="preserve"> mastery </w:t>
      </w:r>
      <w:r w:rsidR="00A10EB5">
        <w:rPr>
          <w:rFonts w:ascii="Times New Roman" w:hAnsi="Times New Roman" w:cs="Times New Roman"/>
          <w:sz w:val="24"/>
          <w:szCs w:val="24"/>
        </w:rPr>
        <w:t>experience</w:t>
      </w:r>
      <w:r>
        <w:rPr>
          <w:rFonts w:ascii="Times New Roman" w:hAnsi="Times New Roman" w:cs="Times New Roman"/>
          <w:sz w:val="24"/>
          <w:szCs w:val="24"/>
        </w:rPr>
        <w:t xml:space="preserve"> </w:t>
      </w:r>
      <w:r w:rsidR="006A4405">
        <w:rPr>
          <w:rFonts w:ascii="Times New Roman" w:hAnsi="Times New Roman" w:cs="Times New Roman"/>
          <w:sz w:val="24"/>
          <w:szCs w:val="24"/>
        </w:rPr>
        <w:t xml:space="preserve">(personal experience of success in physics) </w:t>
      </w:r>
      <w:r>
        <w:rPr>
          <w:rFonts w:ascii="Times New Roman" w:hAnsi="Times New Roman" w:cs="Times New Roman"/>
          <w:sz w:val="24"/>
          <w:szCs w:val="24"/>
        </w:rPr>
        <w:t>was found to be significant</w:t>
      </w:r>
      <w:r w:rsidR="00EC14FF">
        <w:rPr>
          <w:rFonts w:ascii="Times New Roman" w:hAnsi="Times New Roman" w:cs="Times New Roman"/>
          <w:sz w:val="24"/>
          <w:szCs w:val="24"/>
        </w:rPr>
        <w:t>, and only for women.</w:t>
      </w:r>
      <w:r>
        <w:rPr>
          <w:rFonts w:ascii="Times New Roman" w:hAnsi="Times New Roman" w:cs="Times New Roman"/>
          <w:sz w:val="24"/>
          <w:szCs w:val="24"/>
        </w:rPr>
        <w:t xml:space="preserve"> </w:t>
      </w:r>
      <w:r w:rsidR="00EC14FF">
        <w:rPr>
          <w:rFonts w:ascii="Times New Roman" w:hAnsi="Times New Roman" w:cs="Times New Roman"/>
          <w:sz w:val="24"/>
          <w:szCs w:val="24"/>
        </w:rPr>
        <w:t xml:space="preserve">The result was such that, each additional unit increase in mastery experience was associated with </w:t>
      </w:r>
      <w:r w:rsidR="00FF06B9">
        <w:rPr>
          <w:rFonts w:ascii="Times New Roman" w:hAnsi="Times New Roman" w:cs="Times New Roman"/>
          <w:sz w:val="24"/>
          <w:szCs w:val="24"/>
        </w:rPr>
        <w:t xml:space="preserve">high school </w:t>
      </w:r>
      <w:r w:rsidR="00EE155E">
        <w:rPr>
          <w:rFonts w:ascii="Times New Roman" w:hAnsi="Times New Roman" w:cs="Times New Roman"/>
          <w:sz w:val="24"/>
          <w:szCs w:val="24"/>
        </w:rPr>
        <w:t>women’s</w:t>
      </w:r>
      <w:r w:rsidR="00FF06B9">
        <w:rPr>
          <w:rFonts w:ascii="Times New Roman" w:hAnsi="Times New Roman" w:cs="Times New Roman"/>
          <w:sz w:val="24"/>
          <w:szCs w:val="24"/>
        </w:rPr>
        <w:t>’</w:t>
      </w:r>
      <w:r w:rsidR="00EC14FF">
        <w:rPr>
          <w:rFonts w:ascii="Times New Roman" w:hAnsi="Times New Roman" w:cs="Times New Roman"/>
          <w:sz w:val="24"/>
          <w:szCs w:val="24"/>
        </w:rPr>
        <w:t xml:space="preserve"> likelihood of enrolling in advanced physics by a factor of 323</w:t>
      </w:r>
      <w:r w:rsidR="005E61E2">
        <w:rPr>
          <w:rFonts w:ascii="Times New Roman" w:hAnsi="Times New Roman" w:cs="Times New Roman"/>
          <w:sz w:val="24"/>
          <w:szCs w:val="24"/>
        </w:rPr>
        <w:t>. Such extraordinary result will be discussed in detail in Chapter 5.</w:t>
      </w:r>
    </w:p>
    <w:p w14:paraId="4D01282C" w14:textId="77777777" w:rsidR="00F200B1" w:rsidRDefault="00F200B1" w:rsidP="00BA4A2D">
      <w:pPr>
        <w:widowControl w:val="0"/>
        <w:spacing w:after="0" w:line="480" w:lineRule="auto"/>
        <w:ind w:firstLine="720"/>
        <w:rPr>
          <w:rFonts w:ascii="Times New Roman" w:hAnsi="Times New Roman" w:cs="Times New Roman"/>
          <w:sz w:val="24"/>
          <w:szCs w:val="24"/>
        </w:rPr>
      </w:pPr>
    </w:p>
    <w:p w14:paraId="424453DD" w14:textId="77777777" w:rsidR="003F2B44" w:rsidRDefault="003F2B44" w:rsidP="00BA4A2D">
      <w:pPr>
        <w:widowControl w:val="0"/>
        <w:spacing w:after="0" w:line="480" w:lineRule="auto"/>
        <w:rPr>
          <w:rFonts w:ascii="Times New Roman" w:hAnsi="Times New Roman" w:cs="Times New Roman"/>
          <w:sz w:val="24"/>
          <w:szCs w:val="24"/>
        </w:rPr>
      </w:pPr>
    </w:p>
    <w:p w14:paraId="1D6FD663" w14:textId="2D74F17D" w:rsidR="00B71773" w:rsidRDefault="00B71773" w:rsidP="00BA4A2D">
      <w:pPr>
        <w:widowControl w:val="0"/>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182C639B" w14:textId="77777777" w:rsidR="00E01FDC" w:rsidRDefault="00E01FDC" w:rsidP="00BA4A2D">
      <w:pPr>
        <w:pStyle w:val="Heading1"/>
        <w:jc w:val="center"/>
      </w:pPr>
      <w:bookmarkStart w:id="61" w:name="_Toc117501933"/>
      <w:r>
        <w:lastRenderedPageBreak/>
        <w:t>Chapter 5: Discussion and Conclusions</w:t>
      </w:r>
      <w:bookmarkEnd w:id="61"/>
    </w:p>
    <w:p w14:paraId="79F601B4" w14:textId="48561512" w:rsidR="00E01FDC" w:rsidRDefault="00E01FDC" w:rsidP="00BA4A2D">
      <w:pPr>
        <w:widowControl w:val="0"/>
        <w:spacing w:after="0" w:line="480" w:lineRule="auto"/>
        <w:ind w:firstLine="720"/>
        <w:rPr>
          <w:rFonts w:ascii="Times New Roman" w:hAnsi="Times New Roman" w:cs="Times New Roman"/>
          <w:b/>
          <w:sz w:val="24"/>
          <w:szCs w:val="24"/>
        </w:rPr>
      </w:pPr>
      <w:r>
        <w:rPr>
          <w:rFonts w:ascii="Times New Roman" w:eastAsia="Times New Roman" w:hAnsi="Times New Roman" w:cs="Times New Roman"/>
          <w:sz w:val="24"/>
          <w:szCs w:val="24"/>
        </w:rPr>
        <w:t>The final chapter of this study begins with a summary of the importance of this research. Discussion of the results and their implications for each research questions are then presented. The collective interpretation of results and discussion are further used to guide future research.</w:t>
      </w:r>
    </w:p>
    <w:p w14:paraId="6DAC52C5" w14:textId="77777777" w:rsidR="00E01FDC" w:rsidRDefault="00E01FDC" w:rsidP="00BA4A2D">
      <w:pPr>
        <w:pStyle w:val="Heading2"/>
      </w:pPr>
      <w:bookmarkStart w:id="62" w:name="_Toc117501934"/>
      <w:r w:rsidRPr="00B83D94">
        <w:t>Introduction</w:t>
      </w:r>
      <w:bookmarkEnd w:id="62"/>
    </w:p>
    <w:p w14:paraId="06F03D7D" w14:textId="041CAC07" w:rsidR="00E01FDC" w:rsidRDefault="00E01FDC"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purpose of this study was to examine the role self-efficacy played in the enrollment decisions by women at the end of their first year of high school physics.  Bandura’s (1977) research on self-efficacy demonstrated the importance of four sources that contribute to a person’s overall level of self-efficacy. Addressing the purpose of this study required answering two research questions. </w:t>
      </w:r>
    </w:p>
    <w:p w14:paraId="4973A9DE" w14:textId="3133F2B3" w:rsidR="00E01FDC" w:rsidRPr="00AD36D9" w:rsidRDefault="00E01FDC" w:rsidP="00BA4A2D">
      <w:pPr>
        <w:widowControl w:val="0"/>
        <w:spacing w:after="0" w:line="480" w:lineRule="auto"/>
        <w:ind w:firstLine="720"/>
        <w:rPr>
          <w:rFonts w:ascii="Times New Roman" w:hAnsi="Times New Roman" w:cs="Times New Roman"/>
          <w:sz w:val="24"/>
          <w:szCs w:val="24"/>
        </w:rPr>
      </w:pPr>
      <w:r w:rsidRPr="00AD36D9">
        <w:rPr>
          <w:rFonts w:ascii="Times New Roman" w:hAnsi="Times New Roman" w:cs="Times New Roman"/>
          <w:sz w:val="24"/>
          <w:szCs w:val="24"/>
        </w:rPr>
        <w:t xml:space="preserve">RQ #1:  Is self-efficacy a significant predictor of enrollment decision of high school students in </w:t>
      </w:r>
      <w:r w:rsidR="008159B8">
        <w:rPr>
          <w:rFonts w:ascii="Times New Roman" w:hAnsi="Times New Roman" w:cs="Times New Roman"/>
          <w:sz w:val="24"/>
          <w:szCs w:val="24"/>
        </w:rPr>
        <w:t>second-year physics</w:t>
      </w:r>
      <w:r w:rsidRPr="00AD36D9">
        <w:rPr>
          <w:rFonts w:ascii="Times New Roman" w:hAnsi="Times New Roman" w:cs="Times New Roman"/>
          <w:sz w:val="24"/>
          <w:szCs w:val="24"/>
        </w:rPr>
        <w:t xml:space="preserve">? </w:t>
      </w:r>
    </w:p>
    <w:p w14:paraId="75489218" w14:textId="77777777" w:rsidR="00E01FDC" w:rsidRPr="00AD36D9" w:rsidRDefault="00E01FDC" w:rsidP="00BA4A2D">
      <w:pPr>
        <w:widowControl w:val="0"/>
        <w:spacing w:after="0" w:line="480" w:lineRule="auto"/>
        <w:ind w:firstLine="720"/>
        <w:rPr>
          <w:rFonts w:ascii="Times New Roman" w:hAnsi="Times New Roman" w:cs="Times New Roman"/>
          <w:sz w:val="24"/>
          <w:szCs w:val="24"/>
        </w:rPr>
      </w:pPr>
      <w:r w:rsidRPr="00AD36D9">
        <w:rPr>
          <w:rFonts w:ascii="Times New Roman" w:hAnsi="Times New Roman" w:cs="Times New Roman"/>
          <w:sz w:val="24"/>
          <w:szCs w:val="24"/>
        </w:rPr>
        <w:t>RQ #2:  Are there significant differences between men and women on the impact of self-efficacy on second year high school physics enrollment decision?</w:t>
      </w:r>
    </w:p>
    <w:p w14:paraId="6681A45F" w14:textId="270466F9" w:rsidR="00C2277F" w:rsidRPr="00C2277F" w:rsidRDefault="00E01FDC"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The</w:t>
      </w:r>
      <w:r w:rsidR="003579C3">
        <w:rPr>
          <w:rFonts w:ascii="Times New Roman" w:hAnsi="Times New Roman" w:cs="Times New Roman"/>
          <w:sz w:val="24"/>
          <w:szCs w:val="24"/>
        </w:rPr>
        <w:t xml:space="preserve"> </w:t>
      </w:r>
      <w:r>
        <w:rPr>
          <w:rFonts w:ascii="Times New Roman" w:hAnsi="Times New Roman" w:cs="Times New Roman"/>
          <w:sz w:val="24"/>
          <w:szCs w:val="24"/>
        </w:rPr>
        <w:t xml:space="preserve">sample used in this study were </w:t>
      </w:r>
      <w:r w:rsidR="008159B8">
        <w:rPr>
          <w:rFonts w:ascii="Times New Roman" w:hAnsi="Times New Roman" w:cs="Times New Roman"/>
          <w:sz w:val="24"/>
          <w:szCs w:val="24"/>
        </w:rPr>
        <w:t>first-year physics</w:t>
      </w:r>
      <w:r>
        <w:rPr>
          <w:rFonts w:ascii="Times New Roman" w:hAnsi="Times New Roman" w:cs="Times New Roman"/>
          <w:sz w:val="24"/>
          <w:szCs w:val="24"/>
        </w:rPr>
        <w:t xml:space="preserve"> students in a large suburban high school in Illinois. Nearly all participants were in their junior year of high school. All participants were enrolled in the advanced introductory physics course</w:t>
      </w:r>
      <w:r w:rsidR="001536FE">
        <w:rPr>
          <w:rFonts w:ascii="Times New Roman" w:hAnsi="Times New Roman" w:cs="Times New Roman"/>
          <w:sz w:val="24"/>
          <w:szCs w:val="24"/>
        </w:rPr>
        <w:t>,</w:t>
      </w:r>
      <w:r>
        <w:rPr>
          <w:rFonts w:ascii="Times New Roman" w:hAnsi="Times New Roman" w:cs="Times New Roman"/>
          <w:sz w:val="24"/>
          <w:szCs w:val="24"/>
        </w:rPr>
        <w:t xml:space="preserve"> AP Physics 1. Purposeful sampling </w:t>
      </w:r>
      <w:r w:rsidR="006A4405">
        <w:rPr>
          <w:rFonts w:ascii="Times New Roman" w:hAnsi="Times New Roman" w:cs="Times New Roman"/>
          <w:sz w:val="24"/>
          <w:szCs w:val="24"/>
        </w:rPr>
        <w:t>was applied</w:t>
      </w:r>
      <w:r>
        <w:rPr>
          <w:rFonts w:ascii="Times New Roman" w:hAnsi="Times New Roman" w:cs="Times New Roman"/>
          <w:sz w:val="24"/>
          <w:szCs w:val="24"/>
        </w:rPr>
        <w:t>.</w:t>
      </w:r>
    </w:p>
    <w:p w14:paraId="6E5C4989" w14:textId="05A48A50" w:rsidR="00E01FDC" w:rsidRDefault="00E01FDC" w:rsidP="00BA4A2D">
      <w:pPr>
        <w:pStyle w:val="Heading2"/>
      </w:pPr>
      <w:bookmarkStart w:id="63" w:name="_Toc117501935"/>
      <w:r w:rsidRPr="00B83D94">
        <w:t xml:space="preserve">Discussion and Interpretation for Research Question </w:t>
      </w:r>
      <w:r w:rsidR="006A4405">
        <w:t>#</w:t>
      </w:r>
      <w:r w:rsidRPr="00B83D94">
        <w:t>1</w:t>
      </w:r>
      <w:bookmarkEnd w:id="63"/>
    </w:p>
    <w:p w14:paraId="657E0C72" w14:textId="5429529E" w:rsidR="00E01FDC" w:rsidRDefault="00E01FDC"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w:t>
      </w:r>
      <w:r w:rsidR="00BE7522">
        <w:rPr>
          <w:rFonts w:ascii="Times New Roman" w:hAnsi="Times New Roman" w:cs="Times New Roman"/>
          <w:sz w:val="24"/>
          <w:szCs w:val="24"/>
        </w:rPr>
        <w:t xml:space="preserve">results </w:t>
      </w:r>
      <w:r>
        <w:rPr>
          <w:rFonts w:ascii="Times New Roman" w:hAnsi="Times New Roman" w:cs="Times New Roman"/>
          <w:sz w:val="24"/>
          <w:szCs w:val="24"/>
        </w:rPr>
        <w:t>from this study demonstrated that students with higher levels of self-efficacy</w:t>
      </w:r>
      <w:r w:rsidR="00741592">
        <w:rPr>
          <w:rFonts w:ascii="Times New Roman" w:hAnsi="Times New Roman" w:cs="Times New Roman"/>
          <w:sz w:val="24"/>
          <w:szCs w:val="24"/>
        </w:rPr>
        <w:t xml:space="preserve"> associated with mastery experiences</w:t>
      </w:r>
      <w:r>
        <w:rPr>
          <w:rFonts w:ascii="Times New Roman" w:hAnsi="Times New Roman" w:cs="Times New Roman"/>
          <w:sz w:val="24"/>
          <w:szCs w:val="24"/>
        </w:rPr>
        <w:t xml:space="preserve"> were more likely to enroll in a second year of high school physics</w:t>
      </w:r>
      <w:r w:rsidR="009E62ED">
        <w:rPr>
          <w:rFonts w:ascii="Times New Roman" w:hAnsi="Times New Roman" w:cs="Times New Roman"/>
          <w:sz w:val="24"/>
          <w:szCs w:val="24"/>
        </w:rPr>
        <w:t xml:space="preserve">. </w:t>
      </w:r>
      <w:r>
        <w:rPr>
          <w:rFonts w:ascii="Times New Roman" w:hAnsi="Times New Roman" w:cs="Times New Roman"/>
          <w:sz w:val="24"/>
          <w:szCs w:val="24"/>
        </w:rPr>
        <w:t xml:space="preserve">In the model including all eligible participants, an increase in one unit of </w:t>
      </w:r>
      <w:r w:rsidR="00741592">
        <w:rPr>
          <w:rFonts w:ascii="Times New Roman" w:hAnsi="Times New Roman" w:cs="Times New Roman"/>
          <w:sz w:val="24"/>
          <w:szCs w:val="24"/>
        </w:rPr>
        <w:t xml:space="preserve">reported </w:t>
      </w:r>
      <w:r>
        <w:rPr>
          <w:rFonts w:ascii="Times New Roman" w:hAnsi="Times New Roman" w:cs="Times New Roman"/>
          <w:sz w:val="24"/>
          <w:szCs w:val="24"/>
        </w:rPr>
        <w:t xml:space="preserve">self-efficacy derived from mastery experiences was associated with an increase in the odds of </w:t>
      </w:r>
      <w:r>
        <w:rPr>
          <w:rFonts w:ascii="Times New Roman" w:hAnsi="Times New Roman" w:cs="Times New Roman"/>
          <w:sz w:val="24"/>
          <w:szCs w:val="24"/>
        </w:rPr>
        <w:lastRenderedPageBreak/>
        <w:t>enrolling in a second year of high school physics of 8.9</w:t>
      </w:r>
      <w:r w:rsidR="002B0519">
        <w:rPr>
          <w:rFonts w:ascii="Times New Roman" w:hAnsi="Times New Roman" w:cs="Times New Roman"/>
          <w:sz w:val="24"/>
          <w:szCs w:val="24"/>
        </w:rPr>
        <w:t xml:space="preserve"> times</w:t>
      </w:r>
      <w:r>
        <w:rPr>
          <w:rFonts w:ascii="Times New Roman" w:hAnsi="Times New Roman" w:cs="Times New Roman"/>
          <w:sz w:val="24"/>
          <w:szCs w:val="24"/>
        </w:rPr>
        <w:t xml:space="preserve">. These results </w:t>
      </w:r>
      <w:r w:rsidR="00226A7D">
        <w:rPr>
          <w:rFonts w:ascii="Times New Roman" w:hAnsi="Times New Roman" w:cs="Times New Roman"/>
          <w:sz w:val="24"/>
          <w:szCs w:val="24"/>
        </w:rPr>
        <w:t>agree</w:t>
      </w:r>
      <w:r>
        <w:rPr>
          <w:rFonts w:ascii="Times New Roman" w:hAnsi="Times New Roman" w:cs="Times New Roman"/>
          <w:sz w:val="24"/>
          <w:szCs w:val="24"/>
        </w:rPr>
        <w:t xml:space="preserve"> with prior research by Cabel</w:t>
      </w:r>
      <w:r w:rsidR="00676A2D">
        <w:rPr>
          <w:rFonts w:ascii="Times New Roman" w:hAnsi="Times New Roman" w:cs="Times New Roman"/>
          <w:sz w:val="24"/>
          <w:szCs w:val="24"/>
        </w:rPr>
        <w:t>l</w:t>
      </w:r>
      <w:r>
        <w:rPr>
          <w:rFonts w:ascii="Times New Roman" w:hAnsi="Times New Roman" w:cs="Times New Roman"/>
          <w:sz w:val="24"/>
          <w:szCs w:val="24"/>
        </w:rPr>
        <w:t xml:space="preserve"> (202</w:t>
      </w:r>
      <w:r w:rsidR="00676A2D">
        <w:rPr>
          <w:rFonts w:ascii="Times New Roman" w:hAnsi="Times New Roman" w:cs="Times New Roman"/>
          <w:sz w:val="24"/>
          <w:szCs w:val="24"/>
        </w:rPr>
        <w:t>0</w:t>
      </w:r>
      <w:r>
        <w:rPr>
          <w:rFonts w:ascii="Times New Roman" w:hAnsi="Times New Roman" w:cs="Times New Roman"/>
          <w:sz w:val="24"/>
          <w:szCs w:val="24"/>
        </w:rPr>
        <w:t>) and Simon et al. (2015)</w:t>
      </w:r>
      <w:r w:rsidR="00226A7D">
        <w:rPr>
          <w:rFonts w:ascii="Times New Roman" w:hAnsi="Times New Roman" w:cs="Times New Roman"/>
          <w:sz w:val="24"/>
          <w:szCs w:val="24"/>
        </w:rPr>
        <w:t>, who</w:t>
      </w:r>
      <w:r w:rsidR="00B16D31">
        <w:rPr>
          <w:rFonts w:ascii="Times New Roman" w:hAnsi="Times New Roman" w:cs="Times New Roman"/>
          <w:sz w:val="24"/>
          <w:szCs w:val="24"/>
        </w:rPr>
        <w:t xml:space="preserve"> </w:t>
      </w:r>
      <w:r>
        <w:rPr>
          <w:rFonts w:ascii="Times New Roman" w:hAnsi="Times New Roman" w:cs="Times New Roman"/>
          <w:sz w:val="24"/>
          <w:szCs w:val="24"/>
        </w:rPr>
        <w:t xml:space="preserve">found that higher levels of self-efficacy were associated with greater likelihood of persistence in STEM majors for both men and women. </w:t>
      </w:r>
      <w:r w:rsidR="002E2498">
        <w:rPr>
          <w:rFonts w:ascii="Times New Roman" w:hAnsi="Times New Roman" w:cs="Times New Roman"/>
          <w:sz w:val="24"/>
          <w:szCs w:val="24"/>
        </w:rPr>
        <w:t>Research studies, such as these, demonstrate that general levels of self-efficacy are impactful without having to look specifically at the contributing source of self-efficacy or disaggregating results by gender.</w:t>
      </w:r>
    </w:p>
    <w:p w14:paraId="2FB05F09" w14:textId="7C8EDB7B" w:rsidR="00E01FDC" w:rsidRDefault="00632896" w:rsidP="00BA4A2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Although not reaching the level of statistical significance, t</w:t>
      </w:r>
      <w:r w:rsidR="0008082F">
        <w:rPr>
          <w:rFonts w:ascii="Times New Roman" w:hAnsi="Times New Roman" w:cs="Times New Roman"/>
          <w:sz w:val="24"/>
          <w:szCs w:val="24"/>
        </w:rPr>
        <w:t xml:space="preserve">he negative effect of social </w:t>
      </w:r>
      <w:r w:rsidR="00916809">
        <w:rPr>
          <w:rFonts w:ascii="Times New Roman" w:hAnsi="Times New Roman" w:cs="Times New Roman"/>
          <w:sz w:val="24"/>
          <w:szCs w:val="24"/>
        </w:rPr>
        <w:t>persuasion</w:t>
      </w:r>
      <w:r w:rsidR="0008082F">
        <w:rPr>
          <w:rFonts w:ascii="Times New Roman" w:hAnsi="Times New Roman" w:cs="Times New Roman"/>
          <w:sz w:val="24"/>
          <w:szCs w:val="24"/>
        </w:rPr>
        <w:t xml:space="preserve"> actions</w:t>
      </w:r>
      <w:r>
        <w:rPr>
          <w:rFonts w:ascii="Times New Roman" w:hAnsi="Times New Roman" w:cs="Times New Roman"/>
          <w:sz w:val="24"/>
          <w:szCs w:val="24"/>
        </w:rPr>
        <w:t xml:space="preserve"> </w:t>
      </w:r>
      <w:r w:rsidR="00925A66">
        <w:rPr>
          <w:rFonts w:ascii="Times New Roman" w:hAnsi="Times New Roman" w:cs="Times New Roman"/>
          <w:sz w:val="24"/>
          <w:szCs w:val="24"/>
        </w:rPr>
        <w:t>is not in concordance</w:t>
      </w:r>
      <w:r w:rsidR="0008082F">
        <w:rPr>
          <w:rFonts w:ascii="Times New Roman" w:hAnsi="Times New Roman" w:cs="Times New Roman"/>
          <w:sz w:val="24"/>
          <w:szCs w:val="24"/>
        </w:rPr>
        <w:t xml:space="preserve"> with </w:t>
      </w:r>
      <w:r w:rsidR="00583253">
        <w:rPr>
          <w:rFonts w:ascii="Times New Roman" w:hAnsi="Times New Roman" w:cs="Times New Roman"/>
          <w:sz w:val="24"/>
          <w:szCs w:val="24"/>
        </w:rPr>
        <w:t xml:space="preserve">extant literature. </w:t>
      </w:r>
      <w:r w:rsidR="0008082F">
        <w:rPr>
          <w:rFonts w:ascii="Times New Roman" w:hAnsi="Times New Roman" w:cs="Times New Roman"/>
          <w:sz w:val="24"/>
          <w:szCs w:val="24"/>
        </w:rPr>
        <w:t>Patterson and Johnson (2017)</w:t>
      </w:r>
      <w:r w:rsidR="00583253">
        <w:rPr>
          <w:rFonts w:ascii="Times New Roman" w:hAnsi="Times New Roman" w:cs="Times New Roman"/>
          <w:sz w:val="24"/>
          <w:szCs w:val="24"/>
        </w:rPr>
        <w:t xml:space="preserve"> </w:t>
      </w:r>
      <w:r w:rsidR="0008082F">
        <w:rPr>
          <w:rFonts w:ascii="Times New Roman" w:hAnsi="Times New Roman" w:cs="Times New Roman"/>
          <w:sz w:val="24"/>
          <w:szCs w:val="24"/>
        </w:rPr>
        <w:t xml:space="preserve">identified that </w:t>
      </w:r>
      <w:r w:rsidR="00916809">
        <w:rPr>
          <w:rFonts w:ascii="Times New Roman" w:hAnsi="Times New Roman" w:cs="Times New Roman"/>
          <w:sz w:val="24"/>
          <w:szCs w:val="24"/>
        </w:rPr>
        <w:t>obligatory</w:t>
      </w:r>
      <w:r w:rsidR="0008082F">
        <w:rPr>
          <w:rFonts w:ascii="Times New Roman" w:hAnsi="Times New Roman" w:cs="Times New Roman"/>
          <w:sz w:val="24"/>
          <w:szCs w:val="24"/>
        </w:rPr>
        <w:t xml:space="preserve"> goal setting and parental pressure heighten the students’ doubts and insecurities in physics. Results such as these </w:t>
      </w:r>
      <w:r w:rsidR="00E01FDC">
        <w:rPr>
          <w:rFonts w:ascii="Times New Roman" w:hAnsi="Times New Roman" w:cs="Times New Roman"/>
          <w:sz w:val="24"/>
          <w:szCs w:val="24"/>
        </w:rPr>
        <w:t>would suggest that some interventions or discussions by teaching staff</w:t>
      </w:r>
      <w:r w:rsidR="00583253">
        <w:rPr>
          <w:rFonts w:ascii="Times New Roman" w:hAnsi="Times New Roman" w:cs="Times New Roman"/>
          <w:sz w:val="24"/>
          <w:szCs w:val="24"/>
        </w:rPr>
        <w:t xml:space="preserve">, parents, or adult figures </w:t>
      </w:r>
      <w:r w:rsidR="00E01FDC">
        <w:rPr>
          <w:rFonts w:ascii="Times New Roman" w:hAnsi="Times New Roman" w:cs="Times New Roman"/>
          <w:sz w:val="24"/>
          <w:szCs w:val="24"/>
        </w:rPr>
        <w:t xml:space="preserve">with </w:t>
      </w:r>
      <w:r w:rsidR="006B244B">
        <w:rPr>
          <w:rFonts w:ascii="Times New Roman" w:hAnsi="Times New Roman" w:cs="Times New Roman"/>
          <w:sz w:val="24"/>
          <w:szCs w:val="24"/>
        </w:rPr>
        <w:t xml:space="preserve">high school </w:t>
      </w:r>
      <w:r w:rsidR="006B00ED">
        <w:rPr>
          <w:rFonts w:ascii="Times New Roman" w:hAnsi="Times New Roman" w:cs="Times New Roman"/>
          <w:sz w:val="24"/>
          <w:szCs w:val="24"/>
        </w:rPr>
        <w:t xml:space="preserve">students </w:t>
      </w:r>
      <w:r w:rsidR="00583253">
        <w:rPr>
          <w:rFonts w:ascii="Times New Roman" w:hAnsi="Times New Roman" w:cs="Times New Roman"/>
          <w:sz w:val="24"/>
          <w:szCs w:val="24"/>
        </w:rPr>
        <w:t xml:space="preserve">may </w:t>
      </w:r>
      <w:r w:rsidR="00E01FDC">
        <w:rPr>
          <w:rFonts w:ascii="Times New Roman" w:hAnsi="Times New Roman" w:cs="Times New Roman"/>
          <w:sz w:val="24"/>
          <w:szCs w:val="24"/>
        </w:rPr>
        <w:t xml:space="preserve">be having the opposite effect </w:t>
      </w:r>
      <w:r w:rsidR="00583253">
        <w:rPr>
          <w:rFonts w:ascii="Times New Roman" w:hAnsi="Times New Roman" w:cs="Times New Roman"/>
          <w:sz w:val="24"/>
          <w:szCs w:val="24"/>
        </w:rPr>
        <w:t>in terms of</w:t>
      </w:r>
      <w:r w:rsidR="006B00ED">
        <w:rPr>
          <w:rFonts w:ascii="Times New Roman" w:hAnsi="Times New Roman" w:cs="Times New Roman"/>
          <w:sz w:val="24"/>
          <w:szCs w:val="24"/>
        </w:rPr>
        <w:t xml:space="preserve"> encouraging</w:t>
      </w:r>
      <w:r w:rsidR="00583253">
        <w:rPr>
          <w:rFonts w:ascii="Times New Roman" w:hAnsi="Times New Roman" w:cs="Times New Roman"/>
          <w:sz w:val="24"/>
          <w:szCs w:val="24"/>
        </w:rPr>
        <w:t xml:space="preserve"> advanced enrollment in physics</w:t>
      </w:r>
      <w:r w:rsidR="00E01FDC">
        <w:rPr>
          <w:rFonts w:ascii="Times New Roman" w:hAnsi="Times New Roman" w:cs="Times New Roman"/>
          <w:sz w:val="24"/>
          <w:szCs w:val="24"/>
        </w:rPr>
        <w:t xml:space="preserve">. </w:t>
      </w:r>
      <w:r w:rsidR="00583253">
        <w:rPr>
          <w:rFonts w:ascii="Times New Roman" w:hAnsi="Times New Roman" w:cs="Times New Roman"/>
          <w:sz w:val="24"/>
          <w:szCs w:val="24"/>
        </w:rPr>
        <w:t xml:space="preserve">But again, this result is inconclusive, as the significance value did not meet the standard threshold of statistical significance </w:t>
      </w:r>
      <w:r w:rsidR="009C230A">
        <w:rPr>
          <w:rFonts w:ascii="Times New Roman" w:hAnsi="Times New Roman" w:cs="Times New Roman"/>
          <w:sz w:val="24"/>
          <w:szCs w:val="24"/>
        </w:rPr>
        <w:t>and thus should be treated with much caution. Perhaps with a larger sample, more conclusive evidence can be found.</w:t>
      </w:r>
    </w:p>
    <w:p w14:paraId="7406FF2D" w14:textId="6B5D4C82" w:rsidR="00E01FDC" w:rsidRDefault="00E01FDC" w:rsidP="00BA4A2D">
      <w:pPr>
        <w:widowControl w:val="0"/>
        <w:spacing w:after="0" w:line="480" w:lineRule="auto"/>
        <w:jc w:val="center"/>
        <w:rPr>
          <w:rFonts w:ascii="Times New Roman" w:hAnsi="Times New Roman" w:cs="Times New Roman"/>
          <w:b/>
          <w:sz w:val="24"/>
          <w:szCs w:val="24"/>
        </w:rPr>
      </w:pPr>
      <w:r w:rsidRPr="00B83D94">
        <w:rPr>
          <w:rFonts w:ascii="Times New Roman" w:hAnsi="Times New Roman" w:cs="Times New Roman"/>
          <w:b/>
          <w:sz w:val="24"/>
          <w:szCs w:val="24"/>
        </w:rPr>
        <w:t xml:space="preserve">Discussion and Interpretation for Research Question </w:t>
      </w:r>
      <w:r w:rsidR="00E44AA6">
        <w:rPr>
          <w:rFonts w:ascii="Times New Roman" w:hAnsi="Times New Roman" w:cs="Times New Roman"/>
          <w:b/>
          <w:sz w:val="24"/>
          <w:szCs w:val="24"/>
        </w:rPr>
        <w:t>#</w:t>
      </w:r>
      <w:r w:rsidRPr="00B83D94">
        <w:rPr>
          <w:rFonts w:ascii="Times New Roman" w:hAnsi="Times New Roman" w:cs="Times New Roman"/>
          <w:b/>
          <w:sz w:val="24"/>
          <w:szCs w:val="24"/>
        </w:rPr>
        <w:t>2</w:t>
      </w:r>
    </w:p>
    <w:p w14:paraId="0A930634" w14:textId="51555F5C" w:rsidR="00E01FDC" w:rsidRDefault="00E01FDC"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Addressing research question two required the construction of two separate models for predicting </w:t>
      </w:r>
      <w:r w:rsidR="008159B8">
        <w:rPr>
          <w:rFonts w:ascii="Times New Roman" w:hAnsi="Times New Roman" w:cs="Times New Roman"/>
          <w:sz w:val="24"/>
          <w:szCs w:val="24"/>
        </w:rPr>
        <w:t>second-year physics</w:t>
      </w:r>
      <w:r>
        <w:rPr>
          <w:rFonts w:ascii="Times New Roman" w:hAnsi="Times New Roman" w:cs="Times New Roman"/>
          <w:sz w:val="24"/>
          <w:szCs w:val="24"/>
        </w:rPr>
        <w:t xml:space="preserve"> course enrollment, one </w:t>
      </w:r>
      <w:r w:rsidR="005363E5">
        <w:rPr>
          <w:rFonts w:ascii="Times New Roman" w:hAnsi="Times New Roman" w:cs="Times New Roman"/>
          <w:sz w:val="24"/>
          <w:szCs w:val="24"/>
        </w:rPr>
        <w:t xml:space="preserve">including </w:t>
      </w:r>
      <w:r>
        <w:rPr>
          <w:rFonts w:ascii="Times New Roman" w:hAnsi="Times New Roman" w:cs="Times New Roman"/>
          <w:sz w:val="24"/>
          <w:szCs w:val="24"/>
        </w:rPr>
        <w:t xml:space="preserve">men only and one </w:t>
      </w:r>
      <w:r w:rsidR="005363E5">
        <w:rPr>
          <w:rFonts w:ascii="Times New Roman" w:hAnsi="Times New Roman" w:cs="Times New Roman"/>
          <w:sz w:val="24"/>
          <w:szCs w:val="24"/>
        </w:rPr>
        <w:t xml:space="preserve">including </w:t>
      </w:r>
      <w:r>
        <w:rPr>
          <w:rFonts w:ascii="Times New Roman" w:hAnsi="Times New Roman" w:cs="Times New Roman"/>
          <w:sz w:val="24"/>
          <w:szCs w:val="24"/>
        </w:rPr>
        <w:t xml:space="preserve">women only. </w:t>
      </w:r>
      <w:r w:rsidR="009C230A">
        <w:rPr>
          <w:rFonts w:ascii="Times New Roman" w:hAnsi="Times New Roman" w:cs="Times New Roman"/>
          <w:sz w:val="24"/>
          <w:szCs w:val="24"/>
        </w:rPr>
        <w:t>Results from the study</w:t>
      </w:r>
      <w:r>
        <w:rPr>
          <w:rFonts w:ascii="Times New Roman" w:hAnsi="Times New Roman" w:cs="Times New Roman"/>
          <w:sz w:val="24"/>
          <w:szCs w:val="24"/>
        </w:rPr>
        <w:t xml:space="preserve"> support past research demonstrating </w:t>
      </w:r>
      <w:r w:rsidR="005363E5">
        <w:rPr>
          <w:rFonts w:ascii="Times New Roman" w:hAnsi="Times New Roman" w:cs="Times New Roman"/>
          <w:sz w:val="24"/>
          <w:szCs w:val="24"/>
        </w:rPr>
        <w:t xml:space="preserve">the trend of </w:t>
      </w:r>
      <w:r>
        <w:rPr>
          <w:rFonts w:ascii="Times New Roman" w:hAnsi="Times New Roman" w:cs="Times New Roman"/>
          <w:sz w:val="24"/>
          <w:szCs w:val="24"/>
        </w:rPr>
        <w:t>less women taking physics courses than men (Chang et al., 2018)</w:t>
      </w:r>
      <w:r w:rsidR="009C230A">
        <w:rPr>
          <w:rFonts w:ascii="Times New Roman" w:hAnsi="Times New Roman" w:cs="Times New Roman"/>
          <w:sz w:val="24"/>
          <w:szCs w:val="24"/>
        </w:rPr>
        <w:t>,</w:t>
      </w:r>
      <w:r>
        <w:rPr>
          <w:rFonts w:ascii="Times New Roman" w:hAnsi="Times New Roman" w:cs="Times New Roman"/>
          <w:sz w:val="24"/>
          <w:szCs w:val="24"/>
        </w:rPr>
        <w:t xml:space="preserve"> and in particular a second year of advanced physics (College Board, 2017). This study included 120 qualified participants with 33 choosing to enroll in a second year of high school physics. Of the 33 students</w:t>
      </w:r>
      <w:r w:rsidR="00AC0BA1">
        <w:rPr>
          <w:rFonts w:ascii="Times New Roman" w:hAnsi="Times New Roman" w:cs="Times New Roman"/>
          <w:sz w:val="24"/>
          <w:szCs w:val="24"/>
        </w:rPr>
        <w:t>,</w:t>
      </w:r>
      <w:r>
        <w:rPr>
          <w:rFonts w:ascii="Times New Roman" w:hAnsi="Times New Roman" w:cs="Times New Roman"/>
          <w:sz w:val="24"/>
          <w:szCs w:val="24"/>
        </w:rPr>
        <w:t xml:space="preserve"> only 12 were women. This low representation by women validated the need to continue to look for gender </w:t>
      </w:r>
      <w:r>
        <w:rPr>
          <w:rFonts w:ascii="Times New Roman" w:hAnsi="Times New Roman" w:cs="Times New Roman"/>
          <w:sz w:val="24"/>
          <w:szCs w:val="24"/>
        </w:rPr>
        <w:lastRenderedPageBreak/>
        <w:t xml:space="preserve">differences in factors that play a role in enrollment decision making. </w:t>
      </w:r>
    </w:p>
    <w:p w14:paraId="73FA53DF" w14:textId="67BA1742" w:rsidR="00082B29" w:rsidRDefault="00FB2D58" w:rsidP="00BA4A2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men-only model was statistic</w:t>
      </w:r>
      <w:r w:rsidR="0092303B">
        <w:rPr>
          <w:rFonts w:ascii="Times New Roman" w:hAnsi="Times New Roman" w:cs="Times New Roman"/>
          <w:sz w:val="24"/>
          <w:szCs w:val="24"/>
        </w:rPr>
        <w:t>a</w:t>
      </w:r>
      <w:r>
        <w:rPr>
          <w:rFonts w:ascii="Times New Roman" w:hAnsi="Times New Roman" w:cs="Times New Roman"/>
          <w:sz w:val="24"/>
          <w:szCs w:val="24"/>
        </w:rPr>
        <w:t>l</w:t>
      </w:r>
      <w:r w:rsidR="00624208">
        <w:rPr>
          <w:rFonts w:ascii="Times New Roman" w:hAnsi="Times New Roman" w:cs="Times New Roman"/>
          <w:sz w:val="24"/>
          <w:szCs w:val="24"/>
        </w:rPr>
        <w:t>ly</w:t>
      </w:r>
      <w:r>
        <w:rPr>
          <w:rFonts w:ascii="Times New Roman" w:hAnsi="Times New Roman" w:cs="Times New Roman"/>
          <w:sz w:val="24"/>
          <w:szCs w:val="24"/>
        </w:rPr>
        <w:t xml:space="preserve"> significant</w:t>
      </w:r>
      <w:r w:rsidR="00594531">
        <w:rPr>
          <w:rFonts w:ascii="Times New Roman" w:hAnsi="Times New Roman" w:cs="Times New Roman"/>
          <w:sz w:val="24"/>
          <w:szCs w:val="24"/>
        </w:rPr>
        <w:t xml:space="preserve">, </w:t>
      </w:r>
      <w:r w:rsidR="00925A66">
        <w:rPr>
          <w:rFonts w:ascii="Times New Roman" w:hAnsi="Times New Roman" w:cs="Times New Roman"/>
          <w:sz w:val="24"/>
          <w:szCs w:val="24"/>
        </w:rPr>
        <w:t>although</w:t>
      </w:r>
      <w:r>
        <w:rPr>
          <w:rFonts w:ascii="Times New Roman" w:hAnsi="Times New Roman" w:cs="Times New Roman"/>
          <w:sz w:val="24"/>
          <w:szCs w:val="24"/>
        </w:rPr>
        <w:t xml:space="preserve"> none of the predictor variables were </w:t>
      </w:r>
      <w:r w:rsidR="00624208">
        <w:rPr>
          <w:rFonts w:ascii="Times New Roman" w:hAnsi="Times New Roman" w:cs="Times New Roman"/>
          <w:sz w:val="24"/>
          <w:szCs w:val="24"/>
        </w:rPr>
        <w:t>meaningfully associated with enrollment decisions</w:t>
      </w:r>
      <w:r>
        <w:rPr>
          <w:rFonts w:ascii="Times New Roman" w:hAnsi="Times New Roman" w:cs="Times New Roman"/>
          <w:sz w:val="24"/>
          <w:szCs w:val="24"/>
        </w:rPr>
        <w:t xml:space="preserve">. This </w:t>
      </w:r>
      <w:r w:rsidR="00925A66">
        <w:rPr>
          <w:rFonts w:ascii="Times New Roman" w:hAnsi="Times New Roman" w:cs="Times New Roman"/>
          <w:sz w:val="24"/>
          <w:szCs w:val="24"/>
        </w:rPr>
        <w:t xml:space="preserve">result </w:t>
      </w:r>
      <w:r>
        <w:rPr>
          <w:rFonts w:ascii="Times New Roman" w:hAnsi="Times New Roman" w:cs="Times New Roman"/>
          <w:sz w:val="24"/>
          <w:szCs w:val="24"/>
        </w:rPr>
        <w:t xml:space="preserve">is possible when too many variables are included in a study and they collectively mask the truly significant variable. Limitations for this study include an undersized sample size for the number of </w:t>
      </w:r>
      <w:r w:rsidR="00082B29">
        <w:rPr>
          <w:rFonts w:ascii="Times New Roman" w:hAnsi="Times New Roman" w:cs="Times New Roman"/>
          <w:sz w:val="24"/>
          <w:szCs w:val="24"/>
        </w:rPr>
        <w:t xml:space="preserve">independent </w:t>
      </w:r>
      <w:r>
        <w:rPr>
          <w:rFonts w:ascii="Times New Roman" w:hAnsi="Times New Roman" w:cs="Times New Roman"/>
          <w:sz w:val="24"/>
          <w:szCs w:val="24"/>
        </w:rPr>
        <w:t xml:space="preserve">variables. </w:t>
      </w:r>
      <w:r w:rsidR="00082B29">
        <w:rPr>
          <w:rFonts w:ascii="Times New Roman" w:hAnsi="Times New Roman" w:cs="Times New Roman"/>
          <w:sz w:val="24"/>
          <w:szCs w:val="24"/>
        </w:rPr>
        <w:t xml:space="preserve">The inclusion of more men in the study may have allowed for the truly significant source of Bandura’s </w:t>
      </w:r>
      <w:r w:rsidR="00925A66">
        <w:rPr>
          <w:rFonts w:ascii="Times New Roman" w:hAnsi="Times New Roman" w:cs="Times New Roman"/>
          <w:sz w:val="24"/>
          <w:szCs w:val="24"/>
        </w:rPr>
        <w:t xml:space="preserve">(1977) </w:t>
      </w:r>
      <w:r w:rsidR="00082B29">
        <w:rPr>
          <w:rFonts w:ascii="Times New Roman" w:hAnsi="Times New Roman" w:cs="Times New Roman"/>
          <w:sz w:val="24"/>
          <w:szCs w:val="24"/>
        </w:rPr>
        <w:t xml:space="preserve">sources of self-efficacy to have risen to a clear </w:t>
      </w:r>
      <w:r w:rsidR="007732EB">
        <w:rPr>
          <w:rFonts w:ascii="Times New Roman" w:hAnsi="Times New Roman" w:cs="Times New Roman"/>
          <w:sz w:val="24"/>
          <w:szCs w:val="24"/>
        </w:rPr>
        <w:t>statistical</w:t>
      </w:r>
      <w:r w:rsidR="00082B29">
        <w:rPr>
          <w:rFonts w:ascii="Times New Roman" w:hAnsi="Times New Roman" w:cs="Times New Roman"/>
          <w:sz w:val="24"/>
          <w:szCs w:val="24"/>
        </w:rPr>
        <w:t xml:space="preserve"> significance.</w:t>
      </w:r>
    </w:p>
    <w:p w14:paraId="7F868310" w14:textId="48C2131C" w:rsidR="00371810" w:rsidRPr="00F45943" w:rsidRDefault="00FB2D58" w:rsidP="00BA4A2D">
      <w:pPr>
        <w:widowControl w:val="0"/>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 xml:space="preserve"> </w:t>
      </w:r>
      <w:r w:rsidR="002B0519">
        <w:rPr>
          <w:rFonts w:ascii="Times New Roman" w:hAnsi="Times New Roman" w:cs="Times New Roman"/>
          <w:sz w:val="24"/>
          <w:szCs w:val="24"/>
        </w:rPr>
        <w:t xml:space="preserve">For </w:t>
      </w:r>
      <w:r w:rsidR="00AC0BA1">
        <w:rPr>
          <w:rFonts w:ascii="Times New Roman" w:hAnsi="Times New Roman" w:cs="Times New Roman"/>
          <w:sz w:val="24"/>
          <w:szCs w:val="24"/>
        </w:rPr>
        <w:t xml:space="preserve">the women-only </w:t>
      </w:r>
      <w:r w:rsidR="00EE155E">
        <w:rPr>
          <w:rFonts w:ascii="Times New Roman" w:hAnsi="Times New Roman" w:cs="Times New Roman"/>
          <w:sz w:val="24"/>
          <w:szCs w:val="24"/>
        </w:rPr>
        <w:t>model, the</w:t>
      </w:r>
      <w:r w:rsidR="00AC0BA1">
        <w:rPr>
          <w:rFonts w:ascii="Times New Roman" w:hAnsi="Times New Roman" w:cs="Times New Roman"/>
          <w:sz w:val="24"/>
          <w:szCs w:val="24"/>
        </w:rPr>
        <w:t xml:space="preserve"> result was </w:t>
      </w:r>
      <w:r w:rsidR="002B0519">
        <w:rPr>
          <w:rFonts w:ascii="Times New Roman" w:hAnsi="Times New Roman" w:cs="Times New Roman"/>
          <w:sz w:val="24"/>
          <w:szCs w:val="24"/>
        </w:rPr>
        <w:t xml:space="preserve">similar </w:t>
      </w:r>
      <w:r w:rsidR="00AC0BA1">
        <w:rPr>
          <w:rFonts w:ascii="Times New Roman" w:hAnsi="Times New Roman" w:cs="Times New Roman"/>
          <w:sz w:val="24"/>
          <w:szCs w:val="24"/>
        </w:rPr>
        <w:t>such that e</w:t>
      </w:r>
      <w:r w:rsidR="009503C3" w:rsidRPr="00F45943">
        <w:rPr>
          <w:rFonts w:ascii="Times New Roman" w:hAnsi="Times New Roman" w:cs="Times New Roman"/>
          <w:sz w:val="24"/>
          <w:szCs w:val="24"/>
        </w:rPr>
        <w:t xml:space="preserve">ach unit increase in mastery experience </w:t>
      </w:r>
      <w:r w:rsidR="00AC0BA1">
        <w:rPr>
          <w:rFonts w:ascii="Times New Roman" w:hAnsi="Times New Roman" w:cs="Times New Roman"/>
          <w:sz w:val="24"/>
          <w:szCs w:val="24"/>
        </w:rPr>
        <w:t xml:space="preserve">(proxy </w:t>
      </w:r>
      <w:r w:rsidR="00EE155E">
        <w:rPr>
          <w:rFonts w:ascii="Times New Roman" w:hAnsi="Times New Roman" w:cs="Times New Roman"/>
          <w:sz w:val="24"/>
          <w:szCs w:val="24"/>
        </w:rPr>
        <w:t>self-efficacy</w:t>
      </w:r>
      <w:r w:rsidR="00F710A1">
        <w:rPr>
          <w:rFonts w:ascii="Times New Roman" w:hAnsi="Times New Roman" w:cs="Times New Roman"/>
          <w:sz w:val="24"/>
          <w:szCs w:val="24"/>
        </w:rPr>
        <w:t xml:space="preserve"> </w:t>
      </w:r>
      <w:r w:rsidR="00AC0BA1">
        <w:rPr>
          <w:rFonts w:ascii="Times New Roman" w:hAnsi="Times New Roman" w:cs="Times New Roman"/>
          <w:sz w:val="24"/>
          <w:szCs w:val="24"/>
        </w:rPr>
        <w:t xml:space="preserve">measure of experiencing personal success with physics) </w:t>
      </w:r>
      <w:r w:rsidR="009503C3" w:rsidRPr="00F45943">
        <w:rPr>
          <w:rFonts w:ascii="Times New Roman" w:hAnsi="Times New Roman" w:cs="Times New Roman"/>
          <w:sz w:val="24"/>
          <w:szCs w:val="24"/>
        </w:rPr>
        <w:t xml:space="preserve">increased the odds of women </w:t>
      </w:r>
      <w:r w:rsidR="008820B4" w:rsidRPr="00F45943">
        <w:rPr>
          <w:rFonts w:ascii="Times New Roman" w:hAnsi="Times New Roman" w:cs="Times New Roman"/>
          <w:sz w:val="24"/>
          <w:szCs w:val="24"/>
        </w:rPr>
        <w:t>enrolling</w:t>
      </w:r>
      <w:r w:rsidR="009503C3" w:rsidRPr="00F45943">
        <w:rPr>
          <w:rFonts w:ascii="Times New Roman" w:hAnsi="Times New Roman" w:cs="Times New Roman"/>
          <w:sz w:val="24"/>
          <w:szCs w:val="24"/>
        </w:rPr>
        <w:t xml:space="preserve"> in a second year of high school physics by 323</w:t>
      </w:r>
      <w:r w:rsidR="00F710A1">
        <w:rPr>
          <w:rFonts w:ascii="Times New Roman" w:hAnsi="Times New Roman" w:cs="Times New Roman"/>
          <w:sz w:val="24"/>
          <w:szCs w:val="24"/>
        </w:rPr>
        <w:t xml:space="preserve"> </w:t>
      </w:r>
      <w:r w:rsidR="002B0519">
        <w:rPr>
          <w:rFonts w:ascii="Times New Roman" w:hAnsi="Times New Roman" w:cs="Times New Roman"/>
          <w:sz w:val="24"/>
          <w:szCs w:val="24"/>
        </w:rPr>
        <w:t>times</w:t>
      </w:r>
      <w:r w:rsidR="00F710A1">
        <w:rPr>
          <w:rFonts w:ascii="Times New Roman" w:hAnsi="Times New Roman" w:cs="Times New Roman"/>
          <w:sz w:val="24"/>
          <w:szCs w:val="24"/>
        </w:rPr>
        <w:t xml:space="preserve">. </w:t>
      </w:r>
      <w:r w:rsidR="006E0D96">
        <w:rPr>
          <w:rFonts w:ascii="Times New Roman" w:hAnsi="Times New Roman" w:cs="Times New Roman"/>
          <w:sz w:val="24"/>
          <w:szCs w:val="24"/>
        </w:rPr>
        <w:t>S</w:t>
      </w:r>
      <w:r w:rsidR="00F710A1">
        <w:rPr>
          <w:rFonts w:ascii="Times New Roman" w:hAnsi="Times New Roman" w:cs="Times New Roman"/>
          <w:sz w:val="24"/>
          <w:szCs w:val="24"/>
        </w:rPr>
        <w:t xml:space="preserve">uch </w:t>
      </w:r>
      <w:r w:rsidR="00ED6E71">
        <w:rPr>
          <w:rFonts w:ascii="Times New Roman" w:hAnsi="Times New Roman" w:cs="Times New Roman"/>
          <w:sz w:val="24"/>
          <w:szCs w:val="24"/>
        </w:rPr>
        <w:t>large</w:t>
      </w:r>
      <w:r w:rsidR="006E0D96">
        <w:rPr>
          <w:rFonts w:ascii="Times New Roman" w:hAnsi="Times New Roman" w:cs="Times New Roman"/>
          <w:sz w:val="24"/>
          <w:szCs w:val="24"/>
        </w:rPr>
        <w:t xml:space="preserve"> odds ratio may </w:t>
      </w:r>
      <w:r w:rsidR="00F710A1">
        <w:rPr>
          <w:rFonts w:ascii="Times New Roman" w:hAnsi="Times New Roman" w:cs="Times New Roman"/>
          <w:sz w:val="24"/>
          <w:szCs w:val="24"/>
        </w:rPr>
        <w:t xml:space="preserve">be attributed to the less-than-optimal </w:t>
      </w:r>
      <w:r w:rsidR="009503C3" w:rsidRPr="00F45943">
        <w:rPr>
          <w:rFonts w:ascii="Times New Roman" w:hAnsi="Times New Roman" w:cs="Times New Roman"/>
          <w:sz w:val="24"/>
          <w:szCs w:val="24"/>
        </w:rPr>
        <w:t xml:space="preserve">sample size of women participants coupled with the low number of women choosing to enroll in </w:t>
      </w:r>
      <w:r w:rsidR="008159B8">
        <w:rPr>
          <w:rFonts w:ascii="Times New Roman" w:hAnsi="Times New Roman" w:cs="Times New Roman"/>
          <w:sz w:val="24"/>
          <w:szCs w:val="24"/>
        </w:rPr>
        <w:t>second-year physics</w:t>
      </w:r>
      <w:r w:rsidR="00C32082">
        <w:rPr>
          <w:rFonts w:ascii="Times New Roman" w:hAnsi="Times New Roman" w:cs="Times New Roman"/>
          <w:sz w:val="24"/>
          <w:szCs w:val="24"/>
        </w:rPr>
        <w:t>.</w:t>
      </w:r>
      <w:r w:rsidR="00AC1F6C">
        <w:rPr>
          <w:rFonts w:ascii="Times New Roman" w:hAnsi="Times New Roman" w:cs="Times New Roman"/>
          <w:sz w:val="24"/>
          <w:szCs w:val="24"/>
        </w:rPr>
        <w:t xml:space="preserve"> </w:t>
      </w:r>
      <w:r w:rsidR="003A6200">
        <w:rPr>
          <w:rFonts w:ascii="Times New Roman" w:hAnsi="Times New Roman" w:cs="Times New Roman"/>
          <w:sz w:val="24"/>
          <w:szCs w:val="24"/>
        </w:rPr>
        <w:t xml:space="preserve">Tabachnick </w:t>
      </w:r>
      <w:r w:rsidR="00ED6E71">
        <w:rPr>
          <w:rFonts w:ascii="Times New Roman" w:hAnsi="Times New Roman" w:cs="Times New Roman"/>
          <w:sz w:val="24"/>
          <w:szCs w:val="24"/>
        </w:rPr>
        <w:t>and</w:t>
      </w:r>
      <w:r w:rsidR="006E0D96">
        <w:rPr>
          <w:rFonts w:ascii="Times New Roman" w:hAnsi="Times New Roman" w:cs="Times New Roman"/>
          <w:sz w:val="24"/>
          <w:szCs w:val="24"/>
        </w:rPr>
        <w:t xml:space="preserve"> </w:t>
      </w:r>
      <w:r w:rsidR="003A6200">
        <w:rPr>
          <w:rFonts w:ascii="Times New Roman" w:hAnsi="Times New Roman" w:cs="Times New Roman"/>
          <w:sz w:val="24"/>
          <w:szCs w:val="24"/>
        </w:rPr>
        <w:t xml:space="preserve">Fidell </w:t>
      </w:r>
      <w:r w:rsidR="00ED6E71">
        <w:rPr>
          <w:rFonts w:ascii="Times New Roman" w:hAnsi="Times New Roman" w:cs="Times New Roman"/>
          <w:sz w:val="24"/>
          <w:szCs w:val="24"/>
        </w:rPr>
        <w:t>(</w:t>
      </w:r>
      <w:r w:rsidR="003A6200">
        <w:rPr>
          <w:rFonts w:ascii="Times New Roman" w:hAnsi="Times New Roman" w:cs="Times New Roman"/>
          <w:sz w:val="24"/>
          <w:szCs w:val="24"/>
        </w:rPr>
        <w:t>20</w:t>
      </w:r>
      <w:r w:rsidR="00ED6E71">
        <w:rPr>
          <w:rFonts w:ascii="Times New Roman" w:hAnsi="Times New Roman" w:cs="Times New Roman"/>
          <w:sz w:val="24"/>
          <w:szCs w:val="24"/>
        </w:rPr>
        <w:t>19</w:t>
      </w:r>
      <w:r w:rsidR="003A6200">
        <w:rPr>
          <w:rFonts w:ascii="Times New Roman" w:hAnsi="Times New Roman" w:cs="Times New Roman"/>
          <w:sz w:val="24"/>
          <w:szCs w:val="24"/>
        </w:rPr>
        <w:t>)</w:t>
      </w:r>
      <w:r w:rsidR="00ED6E71">
        <w:rPr>
          <w:rFonts w:ascii="Times New Roman" w:hAnsi="Times New Roman" w:cs="Times New Roman"/>
          <w:sz w:val="24"/>
          <w:szCs w:val="24"/>
        </w:rPr>
        <w:t xml:space="preserve"> note</w:t>
      </w:r>
      <w:r w:rsidR="00925A66">
        <w:rPr>
          <w:rFonts w:ascii="Times New Roman" w:hAnsi="Times New Roman" w:cs="Times New Roman"/>
          <w:sz w:val="24"/>
          <w:szCs w:val="24"/>
        </w:rPr>
        <w:t>d</w:t>
      </w:r>
      <w:r w:rsidR="00ED6E71">
        <w:rPr>
          <w:rFonts w:ascii="Times New Roman" w:hAnsi="Times New Roman" w:cs="Times New Roman"/>
          <w:sz w:val="24"/>
          <w:szCs w:val="24"/>
        </w:rPr>
        <w:t xml:space="preserve"> that logistic regression may produce extremely large parameter estimates when the sample size is small resulting in too many cells with no cases</w:t>
      </w:r>
      <w:r w:rsidR="006E0D96">
        <w:rPr>
          <w:rFonts w:ascii="Times New Roman" w:hAnsi="Times New Roman" w:cs="Times New Roman"/>
          <w:sz w:val="24"/>
          <w:szCs w:val="24"/>
        </w:rPr>
        <w:t>.</w:t>
      </w:r>
      <w:r w:rsidR="003A6200">
        <w:rPr>
          <w:rFonts w:ascii="Times New Roman" w:hAnsi="Times New Roman" w:cs="Times New Roman"/>
          <w:sz w:val="24"/>
          <w:szCs w:val="24"/>
        </w:rPr>
        <w:t xml:space="preserve"> </w:t>
      </w:r>
      <w:r w:rsidR="00F710A1">
        <w:rPr>
          <w:rFonts w:ascii="Times New Roman" w:hAnsi="Times New Roman" w:cs="Times New Roman"/>
          <w:sz w:val="24"/>
          <w:szCs w:val="24"/>
        </w:rPr>
        <w:t xml:space="preserve">With that said, the effect of mastery experience or the personal experience with physics being a </w:t>
      </w:r>
      <w:r w:rsidR="00944A2C">
        <w:rPr>
          <w:rFonts w:ascii="Times New Roman" w:hAnsi="Times New Roman" w:cs="Times New Roman"/>
          <w:sz w:val="24"/>
          <w:szCs w:val="24"/>
        </w:rPr>
        <w:t xml:space="preserve">significant predictor for women and not for men must not be discounted, albeit the size of the effect should be treated with caution. How do we </w:t>
      </w:r>
      <w:r w:rsidR="00ED6E71">
        <w:rPr>
          <w:rFonts w:ascii="Times New Roman" w:hAnsi="Times New Roman" w:cs="Times New Roman"/>
          <w:sz w:val="24"/>
          <w:szCs w:val="24"/>
        </w:rPr>
        <w:t xml:space="preserve">then </w:t>
      </w:r>
      <w:r w:rsidR="00944A2C">
        <w:rPr>
          <w:rFonts w:ascii="Times New Roman" w:hAnsi="Times New Roman" w:cs="Times New Roman"/>
          <w:sz w:val="24"/>
          <w:szCs w:val="24"/>
        </w:rPr>
        <w:t>explain such an effect of mastery experience on advanced physics enrollment for women?</w:t>
      </w:r>
    </w:p>
    <w:p w14:paraId="20C210E5" w14:textId="5863E7FF" w:rsidR="00944A2C" w:rsidRPr="00F45943" w:rsidRDefault="00944A2C" w:rsidP="00BA4A2D">
      <w:pPr>
        <w:widowControl w:val="0"/>
        <w:spacing w:after="0" w:line="480" w:lineRule="auto"/>
        <w:ind w:firstLine="720"/>
        <w:rPr>
          <w:rFonts w:ascii="Times New Roman" w:hAnsi="Times New Roman" w:cs="Times New Roman"/>
          <w:sz w:val="24"/>
          <w:szCs w:val="24"/>
        </w:rPr>
      </w:pPr>
      <w:r w:rsidRPr="00F45943">
        <w:rPr>
          <w:rFonts w:ascii="Times New Roman" w:hAnsi="Times New Roman" w:cs="Times New Roman"/>
          <w:sz w:val="24"/>
          <w:szCs w:val="24"/>
        </w:rPr>
        <w:t>Researchers have repeatedly demonstrated that mastery experience is the most influential source of self-efficacy (Bandura, 1977; Kiran &amp; Sungur, 2012; Zeldin et al.</w:t>
      </w:r>
      <w:r w:rsidR="00925A66">
        <w:rPr>
          <w:rFonts w:ascii="Times New Roman" w:hAnsi="Times New Roman" w:cs="Times New Roman"/>
          <w:sz w:val="24"/>
          <w:szCs w:val="24"/>
        </w:rPr>
        <w:t>,</w:t>
      </w:r>
      <w:r w:rsidRPr="00F45943">
        <w:rPr>
          <w:rFonts w:ascii="Times New Roman" w:hAnsi="Times New Roman" w:cs="Times New Roman"/>
          <w:sz w:val="24"/>
          <w:szCs w:val="24"/>
        </w:rPr>
        <w:t xml:space="preserve"> 2008). Some studies have demonstrated the significance of verbal persuasion for women (Britner &amp; Pajares, 2006), but the effects of verbal persuasion are not long lasting and only increase level of self-efficacy </w:t>
      </w:r>
      <w:r w:rsidRPr="00F45943">
        <w:rPr>
          <w:rFonts w:ascii="Times New Roman" w:hAnsi="Times New Roman" w:cs="Times New Roman"/>
          <w:sz w:val="24"/>
          <w:szCs w:val="24"/>
        </w:rPr>
        <w:lastRenderedPageBreak/>
        <w:t xml:space="preserve">for short periods of time (Usher, 2009). Mastery experience carries a stronger level of importance due to its longer lasting effects. The impact of mastery experiences </w:t>
      </w:r>
      <w:r>
        <w:rPr>
          <w:rFonts w:ascii="Times New Roman" w:hAnsi="Times New Roman" w:cs="Times New Roman"/>
          <w:sz w:val="24"/>
          <w:szCs w:val="24"/>
        </w:rPr>
        <w:t>persists</w:t>
      </w:r>
      <w:r w:rsidRPr="00F45943">
        <w:rPr>
          <w:rFonts w:ascii="Times New Roman" w:hAnsi="Times New Roman" w:cs="Times New Roman"/>
          <w:sz w:val="24"/>
          <w:szCs w:val="24"/>
        </w:rPr>
        <w:t xml:space="preserve"> long after students leave the classroom. The longitudinal role mastery experience plays on career pathways does not appear to decrease with age (Zeldin &amp; Pajares, 2008). </w:t>
      </w:r>
      <w:r w:rsidR="00925A66">
        <w:rPr>
          <w:rFonts w:ascii="Times New Roman" w:hAnsi="Times New Roman" w:cs="Times New Roman"/>
          <w:sz w:val="24"/>
          <w:szCs w:val="24"/>
        </w:rPr>
        <w:t xml:space="preserve">The </w:t>
      </w:r>
      <w:r w:rsidRPr="00F45943">
        <w:rPr>
          <w:rFonts w:ascii="Times New Roman" w:hAnsi="Times New Roman" w:cs="Times New Roman"/>
          <w:sz w:val="24"/>
          <w:szCs w:val="24"/>
        </w:rPr>
        <w:t xml:space="preserve">participants reported through interviews the positive impact mastery experiences had on their choice to pursue and confidence in STEM careers but this was more often reported by men than women (Zeldin &amp; Pajares, 2008). This </w:t>
      </w:r>
      <w:r w:rsidR="00925A66">
        <w:rPr>
          <w:rFonts w:ascii="Times New Roman" w:hAnsi="Times New Roman" w:cs="Times New Roman"/>
          <w:sz w:val="24"/>
          <w:szCs w:val="24"/>
        </w:rPr>
        <w:t xml:space="preserve">result </w:t>
      </w:r>
      <w:r w:rsidRPr="00F45943">
        <w:rPr>
          <w:rFonts w:ascii="Times New Roman" w:hAnsi="Times New Roman" w:cs="Times New Roman"/>
          <w:sz w:val="24"/>
          <w:szCs w:val="24"/>
        </w:rPr>
        <w:t xml:space="preserve">may be due to limited access to hands on and engaging activities by women (Kiran &amp; Sungur, 2012). </w:t>
      </w:r>
    </w:p>
    <w:p w14:paraId="4F2CE79F" w14:textId="4AD85F14" w:rsidR="00E92404" w:rsidRPr="00F45943" w:rsidRDefault="00E01FDC" w:rsidP="00BA4A2D">
      <w:pPr>
        <w:widowControl w:val="0"/>
        <w:spacing w:after="0" w:line="480" w:lineRule="auto"/>
        <w:ind w:firstLine="720"/>
        <w:rPr>
          <w:rFonts w:ascii="Times New Roman" w:hAnsi="Times New Roman" w:cs="Times New Roman"/>
          <w:sz w:val="24"/>
          <w:szCs w:val="24"/>
        </w:rPr>
      </w:pPr>
      <w:r w:rsidRPr="00F45943">
        <w:rPr>
          <w:rFonts w:ascii="Times New Roman" w:hAnsi="Times New Roman" w:cs="Times New Roman"/>
          <w:sz w:val="24"/>
          <w:szCs w:val="24"/>
        </w:rPr>
        <w:t xml:space="preserve">Differences between genders on the importance of </w:t>
      </w:r>
      <w:r w:rsidR="008820B4" w:rsidRPr="00F45943">
        <w:rPr>
          <w:rFonts w:ascii="Times New Roman" w:hAnsi="Times New Roman" w:cs="Times New Roman"/>
          <w:sz w:val="24"/>
          <w:szCs w:val="24"/>
        </w:rPr>
        <w:t>sources</w:t>
      </w:r>
      <w:r w:rsidR="008C2FF9" w:rsidRPr="00F45943">
        <w:rPr>
          <w:rFonts w:ascii="Times New Roman" w:hAnsi="Times New Roman" w:cs="Times New Roman"/>
          <w:sz w:val="24"/>
          <w:szCs w:val="24"/>
        </w:rPr>
        <w:t xml:space="preserve"> of self-efficacy</w:t>
      </w:r>
      <w:r w:rsidRPr="00F45943">
        <w:rPr>
          <w:rFonts w:ascii="Times New Roman" w:hAnsi="Times New Roman" w:cs="Times New Roman"/>
          <w:sz w:val="24"/>
          <w:szCs w:val="24"/>
        </w:rPr>
        <w:t xml:space="preserve"> is mixed in prior research. </w:t>
      </w:r>
      <w:r w:rsidR="008C2FF9" w:rsidRPr="00F45943">
        <w:rPr>
          <w:rFonts w:ascii="Times New Roman" w:hAnsi="Times New Roman" w:cs="Times New Roman"/>
          <w:sz w:val="24"/>
          <w:szCs w:val="24"/>
        </w:rPr>
        <w:t>Contrary to this study, Sawtelle (2011) found that mastery experience w</w:t>
      </w:r>
      <w:r w:rsidR="00624208">
        <w:rPr>
          <w:rFonts w:ascii="Times New Roman" w:hAnsi="Times New Roman" w:cs="Times New Roman"/>
          <w:sz w:val="24"/>
          <w:szCs w:val="24"/>
        </w:rPr>
        <w:t xml:space="preserve">as </w:t>
      </w:r>
      <w:r w:rsidR="008C2FF9" w:rsidRPr="00F45943">
        <w:rPr>
          <w:rFonts w:ascii="Times New Roman" w:hAnsi="Times New Roman" w:cs="Times New Roman"/>
          <w:sz w:val="24"/>
          <w:szCs w:val="24"/>
        </w:rPr>
        <w:t xml:space="preserve">significant for men and vicarious learning was important to women. </w:t>
      </w:r>
      <w:r w:rsidR="00461DB6" w:rsidRPr="00F45943">
        <w:rPr>
          <w:rFonts w:ascii="Times New Roman" w:hAnsi="Times New Roman" w:cs="Times New Roman"/>
          <w:sz w:val="24"/>
          <w:szCs w:val="24"/>
        </w:rPr>
        <w:t xml:space="preserve">However, the importance of mastery experiences cannot be ignored. </w:t>
      </w:r>
      <w:r w:rsidRPr="00F45943">
        <w:rPr>
          <w:rFonts w:ascii="Times New Roman" w:hAnsi="Times New Roman" w:cs="Times New Roman"/>
          <w:sz w:val="24"/>
          <w:szCs w:val="24"/>
        </w:rPr>
        <w:t xml:space="preserve">Mastery experience </w:t>
      </w:r>
      <w:r w:rsidR="008C2FF9" w:rsidRPr="00F45943">
        <w:rPr>
          <w:rFonts w:ascii="Times New Roman" w:hAnsi="Times New Roman" w:cs="Times New Roman"/>
          <w:sz w:val="24"/>
          <w:szCs w:val="24"/>
        </w:rPr>
        <w:t xml:space="preserve">was a </w:t>
      </w:r>
      <w:r w:rsidRPr="00F45943">
        <w:rPr>
          <w:rFonts w:ascii="Times New Roman" w:hAnsi="Times New Roman" w:cs="Times New Roman"/>
          <w:sz w:val="24"/>
          <w:szCs w:val="24"/>
        </w:rPr>
        <w:t xml:space="preserve">slightly more significant factor and accounted for more variance in overall level of self-efficacy </w:t>
      </w:r>
      <w:r w:rsidR="00461DB6" w:rsidRPr="00F45943">
        <w:rPr>
          <w:rFonts w:ascii="Times New Roman" w:hAnsi="Times New Roman" w:cs="Times New Roman"/>
          <w:sz w:val="24"/>
          <w:szCs w:val="24"/>
        </w:rPr>
        <w:t xml:space="preserve">for women </w:t>
      </w:r>
      <w:r w:rsidRPr="00F45943">
        <w:rPr>
          <w:rFonts w:ascii="Times New Roman" w:hAnsi="Times New Roman" w:cs="Times New Roman"/>
          <w:sz w:val="24"/>
          <w:szCs w:val="24"/>
        </w:rPr>
        <w:t xml:space="preserve">than it did for men in a study of middle school science students. It was also the only source of self-efficacy that was statistically significant (Britner &amp; Pajares, 2006). </w:t>
      </w:r>
      <w:r w:rsidR="00AF2BE0">
        <w:rPr>
          <w:rFonts w:ascii="Times New Roman" w:hAnsi="Times New Roman" w:cs="Times New Roman"/>
          <w:sz w:val="24"/>
          <w:szCs w:val="24"/>
        </w:rPr>
        <w:t xml:space="preserve">The longevity of importance placed on mastery experiences demonstrated in past research coupled with the late administration of the SOSESC-P contributed to its significance in this study. </w:t>
      </w:r>
    </w:p>
    <w:p w14:paraId="12996748" w14:textId="3F61CB13" w:rsidR="00E01FDC" w:rsidRPr="00823291" w:rsidRDefault="00E01FDC" w:rsidP="00BA4A2D">
      <w:pPr>
        <w:pStyle w:val="Heading2"/>
      </w:pPr>
      <w:bookmarkStart w:id="64" w:name="_Toc117501936"/>
      <w:r w:rsidRPr="00B83D94">
        <w:t>Impli</w:t>
      </w:r>
      <w:r>
        <w:t xml:space="preserve">cations </w:t>
      </w:r>
      <w:r w:rsidR="008B53A2">
        <w:t xml:space="preserve">and </w:t>
      </w:r>
      <w:r w:rsidR="00EE155E">
        <w:t>Recommendations</w:t>
      </w:r>
      <w:bookmarkEnd w:id="64"/>
    </w:p>
    <w:p w14:paraId="25A9597E" w14:textId="31C91406" w:rsidR="00AB587C" w:rsidRDefault="00B04315" w:rsidP="00BA4A2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Findings from</w:t>
      </w:r>
      <w:r w:rsidR="00E01FDC">
        <w:rPr>
          <w:rFonts w:ascii="Times New Roman" w:hAnsi="Times New Roman" w:cs="Times New Roman"/>
          <w:sz w:val="24"/>
          <w:szCs w:val="24"/>
        </w:rPr>
        <w:t xml:space="preserve"> this study</w:t>
      </w:r>
      <w:r w:rsidR="00A662C4">
        <w:rPr>
          <w:rFonts w:ascii="Times New Roman" w:hAnsi="Times New Roman" w:cs="Times New Roman"/>
          <w:sz w:val="24"/>
          <w:szCs w:val="24"/>
        </w:rPr>
        <w:t xml:space="preserve"> demonstrated that ma</w:t>
      </w:r>
      <w:r w:rsidR="00733A56">
        <w:rPr>
          <w:rFonts w:ascii="Times New Roman" w:hAnsi="Times New Roman" w:cs="Times New Roman"/>
          <w:sz w:val="24"/>
          <w:szCs w:val="24"/>
        </w:rPr>
        <w:t>stery learning is a significant</w:t>
      </w:r>
      <w:r w:rsidR="00A662C4">
        <w:rPr>
          <w:rFonts w:ascii="Times New Roman" w:hAnsi="Times New Roman" w:cs="Times New Roman"/>
          <w:sz w:val="24"/>
          <w:szCs w:val="24"/>
        </w:rPr>
        <w:t xml:space="preserve"> source of self-efficacy for women impacting their choice on advanced physics enrollment. </w:t>
      </w:r>
      <w:r w:rsidR="00E01FDC">
        <w:rPr>
          <w:rFonts w:ascii="Times New Roman" w:hAnsi="Times New Roman" w:cs="Times New Roman"/>
          <w:sz w:val="24"/>
          <w:szCs w:val="24"/>
        </w:rPr>
        <w:t xml:space="preserve">Critical analysis of existing </w:t>
      </w:r>
      <w:r w:rsidR="00AB587C">
        <w:rPr>
          <w:rFonts w:ascii="Times New Roman" w:hAnsi="Times New Roman" w:cs="Times New Roman"/>
          <w:sz w:val="24"/>
          <w:szCs w:val="24"/>
        </w:rPr>
        <w:t xml:space="preserve">pedagogy and </w:t>
      </w:r>
      <w:r w:rsidR="00E01FDC">
        <w:rPr>
          <w:rFonts w:ascii="Times New Roman" w:hAnsi="Times New Roman" w:cs="Times New Roman"/>
          <w:sz w:val="24"/>
          <w:szCs w:val="24"/>
        </w:rPr>
        <w:t xml:space="preserve">practices at the research site must be done and viewed through the lens of  Bandura’s </w:t>
      </w:r>
      <w:r w:rsidR="00925A66">
        <w:rPr>
          <w:rFonts w:ascii="Times New Roman" w:hAnsi="Times New Roman" w:cs="Times New Roman"/>
          <w:sz w:val="24"/>
          <w:szCs w:val="24"/>
        </w:rPr>
        <w:t>(1977) s</w:t>
      </w:r>
      <w:r w:rsidR="00E01FDC">
        <w:rPr>
          <w:rFonts w:ascii="Times New Roman" w:hAnsi="Times New Roman" w:cs="Times New Roman"/>
          <w:sz w:val="24"/>
          <w:szCs w:val="24"/>
        </w:rPr>
        <w:t xml:space="preserve">ocial </w:t>
      </w:r>
      <w:r w:rsidR="00925A66">
        <w:rPr>
          <w:rFonts w:ascii="Times New Roman" w:hAnsi="Times New Roman" w:cs="Times New Roman"/>
          <w:sz w:val="24"/>
          <w:szCs w:val="24"/>
        </w:rPr>
        <w:t>c</w:t>
      </w:r>
      <w:r w:rsidR="00E01FDC">
        <w:rPr>
          <w:rFonts w:ascii="Times New Roman" w:hAnsi="Times New Roman" w:cs="Times New Roman"/>
          <w:sz w:val="24"/>
          <w:szCs w:val="24"/>
        </w:rPr>
        <w:t xml:space="preserve">ognitive </w:t>
      </w:r>
      <w:r w:rsidR="00925A66">
        <w:rPr>
          <w:rFonts w:ascii="Times New Roman" w:hAnsi="Times New Roman" w:cs="Times New Roman"/>
          <w:sz w:val="24"/>
          <w:szCs w:val="24"/>
        </w:rPr>
        <w:t>t</w:t>
      </w:r>
      <w:r w:rsidR="00E01FDC">
        <w:rPr>
          <w:rFonts w:ascii="Times New Roman" w:hAnsi="Times New Roman" w:cs="Times New Roman"/>
          <w:sz w:val="24"/>
          <w:szCs w:val="24"/>
        </w:rPr>
        <w:t>heory and self-efficacy</w:t>
      </w:r>
      <w:r w:rsidR="000D768E">
        <w:rPr>
          <w:rFonts w:ascii="Times New Roman" w:hAnsi="Times New Roman" w:cs="Times New Roman"/>
          <w:sz w:val="24"/>
          <w:szCs w:val="24"/>
        </w:rPr>
        <w:t xml:space="preserve"> given its significance on enrollment patterns.</w:t>
      </w:r>
      <w:r w:rsidR="00A662C4">
        <w:rPr>
          <w:rFonts w:ascii="Times New Roman" w:hAnsi="Times New Roman" w:cs="Times New Roman"/>
          <w:sz w:val="24"/>
          <w:szCs w:val="24"/>
        </w:rPr>
        <w:t xml:space="preserve"> While Bandura’s theory of self-efficacy has four sources, particular </w:t>
      </w:r>
      <w:r w:rsidR="00A662C4">
        <w:rPr>
          <w:rFonts w:ascii="Times New Roman" w:hAnsi="Times New Roman" w:cs="Times New Roman"/>
          <w:sz w:val="24"/>
          <w:szCs w:val="24"/>
        </w:rPr>
        <w:lastRenderedPageBreak/>
        <w:t>attention must be paid to mastery experience as this was the most significant factor in this research study.</w:t>
      </w:r>
    </w:p>
    <w:p w14:paraId="0B6E23A8" w14:textId="4568DBFC" w:rsidR="00AB587C" w:rsidRDefault="00AB587C"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actions taken by teachers has the potential to positively impact </w:t>
      </w:r>
      <w:r w:rsidR="00585C69">
        <w:rPr>
          <w:rFonts w:ascii="Times New Roman" w:hAnsi="Times New Roman" w:cs="Times New Roman"/>
          <w:sz w:val="24"/>
          <w:szCs w:val="24"/>
        </w:rPr>
        <w:t xml:space="preserve">overall </w:t>
      </w:r>
      <w:r>
        <w:rPr>
          <w:rFonts w:ascii="Times New Roman" w:hAnsi="Times New Roman" w:cs="Times New Roman"/>
          <w:sz w:val="24"/>
          <w:szCs w:val="24"/>
        </w:rPr>
        <w:t>level of self-efficacy for students</w:t>
      </w:r>
      <w:r w:rsidR="00585C69">
        <w:rPr>
          <w:rFonts w:ascii="Times New Roman" w:hAnsi="Times New Roman" w:cs="Times New Roman"/>
          <w:sz w:val="24"/>
          <w:szCs w:val="24"/>
        </w:rPr>
        <w:t>, but research specific to the impact of mastery experiences by teachers of high school students is scar</w:t>
      </w:r>
      <w:r w:rsidR="00C11245">
        <w:rPr>
          <w:rFonts w:ascii="Times New Roman" w:hAnsi="Times New Roman" w:cs="Times New Roman"/>
          <w:sz w:val="24"/>
          <w:szCs w:val="24"/>
        </w:rPr>
        <w:t>c</w:t>
      </w:r>
      <w:r w:rsidR="00585C69">
        <w:rPr>
          <w:rFonts w:ascii="Times New Roman" w:hAnsi="Times New Roman" w:cs="Times New Roman"/>
          <w:sz w:val="24"/>
          <w:szCs w:val="24"/>
        </w:rPr>
        <w:t>e</w:t>
      </w:r>
      <w:r>
        <w:rPr>
          <w:rFonts w:ascii="Times New Roman" w:hAnsi="Times New Roman" w:cs="Times New Roman"/>
          <w:sz w:val="24"/>
          <w:szCs w:val="24"/>
        </w:rPr>
        <w:t>. The use of modeling instruction has been shown to have positive and significant impacts on math and science levels of self-efficacy in middle school students (Riegle-Crumb et al., 2019). This instructional practice also has a stabilizing impact on the self-efficacy for high school physics students. Physics self-efficacy has been found to decrease with experience in physics classes over time. While this decrease is found in both genders, women have a larger drop in level of self-efficacy than men (Nissen &amp; Shemwell, 2016). Instructional pedagogy, such as modeling can mitigate this potential drop in self-efficacy. Sawtelle (2011) found that university students of both genders learning physics in a modeling classroom setting had less of a decrease in level of self-efficacy than those in a more traditional instructional setting. Increasing the level of self-efficacy would increase the odds of enrolling in a second year of high school physics, but if that is not done, preventing a decrease becomes best practice.</w:t>
      </w:r>
    </w:p>
    <w:p w14:paraId="1B5A9650" w14:textId="6C349366" w:rsidR="00AB587C" w:rsidRDefault="00AB587C"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Other instructional strategies have also been linked with positive impacts on student </w:t>
      </w:r>
      <w:r w:rsidR="00585C69">
        <w:rPr>
          <w:rFonts w:ascii="Times New Roman" w:hAnsi="Times New Roman" w:cs="Times New Roman"/>
          <w:sz w:val="24"/>
          <w:szCs w:val="24"/>
        </w:rPr>
        <w:t>ov</w:t>
      </w:r>
      <w:r w:rsidR="00EE155E">
        <w:rPr>
          <w:rFonts w:ascii="Times New Roman" w:hAnsi="Times New Roman" w:cs="Times New Roman"/>
          <w:sz w:val="24"/>
          <w:szCs w:val="24"/>
        </w:rPr>
        <w:t>e</w:t>
      </w:r>
      <w:r w:rsidR="00585C69">
        <w:rPr>
          <w:rFonts w:ascii="Times New Roman" w:hAnsi="Times New Roman" w:cs="Times New Roman"/>
          <w:sz w:val="24"/>
          <w:szCs w:val="24"/>
        </w:rPr>
        <w:t xml:space="preserve">rall </w:t>
      </w:r>
      <w:r>
        <w:rPr>
          <w:rFonts w:ascii="Times New Roman" w:hAnsi="Times New Roman" w:cs="Times New Roman"/>
          <w:sz w:val="24"/>
          <w:szCs w:val="24"/>
        </w:rPr>
        <w:t>levels of self-efficacy. Project based learning in physics had a significant impact on level of self-efficacy in physics as opposed to a traditional or control group of high school students in Malaysia (Samsudin et al., 2020). Also, differentiated instruction had a significant impact on middle school math self-efficacy from a study of 6</w:t>
      </w:r>
      <w:r w:rsidRPr="002D2016">
        <w:rPr>
          <w:rFonts w:ascii="Times New Roman" w:hAnsi="Times New Roman" w:cs="Times New Roman"/>
          <w:sz w:val="24"/>
          <w:szCs w:val="24"/>
          <w:vertAlign w:val="superscript"/>
        </w:rPr>
        <w:t>th</w:t>
      </w:r>
      <w:r>
        <w:rPr>
          <w:rFonts w:ascii="Times New Roman" w:hAnsi="Times New Roman" w:cs="Times New Roman"/>
          <w:sz w:val="24"/>
          <w:szCs w:val="24"/>
        </w:rPr>
        <w:t xml:space="preserve"> graders in Taiwan (Lai et al., 2020). Given</w:t>
      </w:r>
      <w:r w:rsidRPr="00C65C4A">
        <w:rPr>
          <w:rFonts w:ascii="Times New Roman" w:hAnsi="Times New Roman" w:cs="Times New Roman"/>
          <w:sz w:val="24"/>
          <w:szCs w:val="24"/>
        </w:rPr>
        <w:t xml:space="preserve"> </w:t>
      </w:r>
      <w:r>
        <w:rPr>
          <w:rFonts w:ascii="Times New Roman" w:hAnsi="Times New Roman" w:cs="Times New Roman"/>
          <w:sz w:val="24"/>
          <w:szCs w:val="24"/>
        </w:rPr>
        <w:t xml:space="preserve">that women have been found to enter physics classes with a lower initial level of self-efficacy than men (Stewart et al., 2020) careful consideration of how instructional strategies impact self-efficacy is </w:t>
      </w:r>
      <w:r w:rsidR="000D768E">
        <w:rPr>
          <w:rFonts w:ascii="Times New Roman" w:hAnsi="Times New Roman" w:cs="Times New Roman"/>
          <w:sz w:val="24"/>
          <w:szCs w:val="24"/>
        </w:rPr>
        <w:t xml:space="preserve">vitally </w:t>
      </w:r>
      <w:r>
        <w:rPr>
          <w:rFonts w:ascii="Times New Roman" w:hAnsi="Times New Roman" w:cs="Times New Roman"/>
          <w:sz w:val="24"/>
          <w:szCs w:val="24"/>
        </w:rPr>
        <w:t>important to future enrollment decisions.</w:t>
      </w:r>
      <w:r w:rsidR="00585C69">
        <w:rPr>
          <w:rFonts w:ascii="Times New Roman" w:hAnsi="Times New Roman" w:cs="Times New Roman"/>
          <w:sz w:val="24"/>
          <w:szCs w:val="24"/>
        </w:rPr>
        <w:t xml:space="preserve"> Research is lacking on which source </w:t>
      </w:r>
      <w:r w:rsidR="00585C69">
        <w:rPr>
          <w:rFonts w:ascii="Times New Roman" w:hAnsi="Times New Roman" w:cs="Times New Roman"/>
          <w:sz w:val="24"/>
          <w:szCs w:val="24"/>
        </w:rPr>
        <w:lastRenderedPageBreak/>
        <w:t xml:space="preserve">of Bandura’s </w:t>
      </w:r>
      <w:r w:rsidR="00925A66">
        <w:rPr>
          <w:rFonts w:ascii="Times New Roman" w:hAnsi="Times New Roman" w:cs="Times New Roman"/>
          <w:sz w:val="24"/>
          <w:szCs w:val="24"/>
        </w:rPr>
        <w:t xml:space="preserve">(1977) </w:t>
      </w:r>
      <w:r w:rsidR="00585C69">
        <w:rPr>
          <w:rFonts w:ascii="Times New Roman" w:hAnsi="Times New Roman" w:cs="Times New Roman"/>
          <w:sz w:val="24"/>
          <w:szCs w:val="24"/>
        </w:rPr>
        <w:t xml:space="preserve">sources of self-efficacy is most impacted </w:t>
      </w:r>
      <w:r w:rsidR="00925A66">
        <w:rPr>
          <w:rFonts w:ascii="Times New Roman" w:hAnsi="Times New Roman" w:cs="Times New Roman"/>
          <w:sz w:val="24"/>
          <w:szCs w:val="24"/>
        </w:rPr>
        <w:t>when using</w:t>
      </w:r>
      <w:r w:rsidR="00585C69">
        <w:rPr>
          <w:rFonts w:ascii="Times New Roman" w:hAnsi="Times New Roman" w:cs="Times New Roman"/>
          <w:sz w:val="24"/>
          <w:szCs w:val="24"/>
        </w:rPr>
        <w:t xml:space="preserve"> project</w:t>
      </w:r>
      <w:r w:rsidR="00624208">
        <w:rPr>
          <w:rFonts w:ascii="Times New Roman" w:hAnsi="Times New Roman" w:cs="Times New Roman"/>
          <w:sz w:val="24"/>
          <w:szCs w:val="24"/>
        </w:rPr>
        <w:t>-</w:t>
      </w:r>
      <w:r w:rsidR="00585C69">
        <w:rPr>
          <w:rFonts w:ascii="Times New Roman" w:hAnsi="Times New Roman" w:cs="Times New Roman"/>
          <w:sz w:val="24"/>
          <w:szCs w:val="24"/>
        </w:rPr>
        <w:t xml:space="preserve">based learning and differentiated instruction in the classroom. </w:t>
      </w:r>
    </w:p>
    <w:p w14:paraId="254DAE4A" w14:textId="3644A64F" w:rsidR="00E01FDC" w:rsidRDefault="000D768E" w:rsidP="00BA4A2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When t</w:t>
      </w:r>
      <w:r w:rsidR="00E01FDC">
        <w:rPr>
          <w:rFonts w:ascii="Times New Roman" w:hAnsi="Times New Roman" w:cs="Times New Roman"/>
          <w:sz w:val="24"/>
          <w:szCs w:val="24"/>
        </w:rPr>
        <w:t>eachers consider how their pedagogy impacts self-efficacy</w:t>
      </w:r>
      <w:r>
        <w:rPr>
          <w:rFonts w:ascii="Times New Roman" w:hAnsi="Times New Roman" w:cs="Times New Roman"/>
          <w:sz w:val="24"/>
          <w:szCs w:val="24"/>
        </w:rPr>
        <w:t xml:space="preserve">, </w:t>
      </w:r>
      <w:r w:rsidR="00B158DD">
        <w:rPr>
          <w:rFonts w:ascii="Times New Roman" w:hAnsi="Times New Roman" w:cs="Times New Roman"/>
          <w:sz w:val="24"/>
          <w:szCs w:val="24"/>
        </w:rPr>
        <w:t xml:space="preserve">the current study suggested that </w:t>
      </w:r>
      <w:r>
        <w:rPr>
          <w:rFonts w:ascii="Times New Roman" w:hAnsi="Times New Roman" w:cs="Times New Roman"/>
          <w:sz w:val="24"/>
          <w:szCs w:val="24"/>
        </w:rPr>
        <w:t xml:space="preserve">they should </w:t>
      </w:r>
      <w:r w:rsidR="003F74FA">
        <w:rPr>
          <w:rFonts w:ascii="Times New Roman" w:hAnsi="Times New Roman" w:cs="Times New Roman"/>
          <w:sz w:val="24"/>
          <w:szCs w:val="24"/>
        </w:rPr>
        <w:t>pay particular</w:t>
      </w:r>
      <w:r w:rsidR="00E01FDC">
        <w:rPr>
          <w:rFonts w:ascii="Times New Roman" w:hAnsi="Times New Roman" w:cs="Times New Roman"/>
          <w:sz w:val="24"/>
          <w:szCs w:val="24"/>
        </w:rPr>
        <w:t xml:space="preserve"> attention to mastery experiences. The significance of mastery experiences, especially </w:t>
      </w:r>
      <w:r w:rsidR="00B158DD">
        <w:rPr>
          <w:rFonts w:ascii="Times New Roman" w:hAnsi="Times New Roman" w:cs="Times New Roman"/>
          <w:sz w:val="24"/>
          <w:szCs w:val="24"/>
        </w:rPr>
        <w:t>for</w:t>
      </w:r>
      <w:r w:rsidR="00E01FDC">
        <w:rPr>
          <w:rFonts w:ascii="Times New Roman" w:hAnsi="Times New Roman" w:cs="Times New Roman"/>
          <w:sz w:val="24"/>
          <w:szCs w:val="24"/>
        </w:rPr>
        <w:t xml:space="preserve"> women</w:t>
      </w:r>
      <w:r w:rsidR="00B158DD">
        <w:rPr>
          <w:rFonts w:ascii="Times New Roman" w:hAnsi="Times New Roman" w:cs="Times New Roman"/>
          <w:sz w:val="24"/>
          <w:szCs w:val="24"/>
        </w:rPr>
        <w:t>, per our finding,</w:t>
      </w:r>
      <w:r w:rsidR="00E01FDC">
        <w:rPr>
          <w:rFonts w:ascii="Times New Roman" w:hAnsi="Times New Roman" w:cs="Times New Roman"/>
          <w:sz w:val="24"/>
          <w:szCs w:val="24"/>
        </w:rPr>
        <w:t xml:space="preserve"> highlights the importance of evaluating how the physics is taught</w:t>
      </w:r>
      <w:r>
        <w:rPr>
          <w:rFonts w:ascii="Times New Roman" w:hAnsi="Times New Roman" w:cs="Times New Roman"/>
          <w:sz w:val="24"/>
          <w:szCs w:val="24"/>
        </w:rPr>
        <w:t xml:space="preserve"> in addition to what is taught</w:t>
      </w:r>
      <w:r w:rsidR="00E01FDC">
        <w:rPr>
          <w:rFonts w:ascii="Times New Roman" w:hAnsi="Times New Roman" w:cs="Times New Roman"/>
          <w:sz w:val="24"/>
          <w:szCs w:val="24"/>
        </w:rPr>
        <w:t xml:space="preserve">. This curriculum and instruction review needs to go beyond specific content standards. Targeting and emphasizing the importance of mastery experiences can be addressed through a conscience effort to increase the number of opportunities to demonstrate mastery. These learning experiences would require feedback where success can be measured and levels of success are delineated. Feedback is necessary for students to evaluate their level of mastery on an activity. If sections or units in the physics curriculum already contains a substantial number of mastery experience opportunities, then emphasizing the experiences could help address the problem by building in reflective activities. Encouraging or requiring students to pause and reflect on their levels of mastery could prevent lost opportunities to experience and appreciate their level of mastery. </w:t>
      </w:r>
    </w:p>
    <w:p w14:paraId="302420A7" w14:textId="77777777" w:rsidR="00E01FDC" w:rsidRDefault="00E01FDC" w:rsidP="00BA4A2D">
      <w:pPr>
        <w:pStyle w:val="Heading2"/>
      </w:pPr>
      <w:bookmarkStart w:id="65" w:name="_Toc117501937"/>
      <w:r>
        <w:t>Recommendations for Future Research</w:t>
      </w:r>
      <w:bookmarkEnd w:id="65"/>
    </w:p>
    <w:p w14:paraId="6F8D07FB" w14:textId="4445113C" w:rsidR="00E01FDC" w:rsidRPr="003D3D3C" w:rsidRDefault="00E01FDC" w:rsidP="00BA4A2D">
      <w:pPr>
        <w:widowControl w:val="0"/>
        <w:spacing w:after="0" w:line="480" w:lineRule="auto"/>
        <w:rPr>
          <w:rFonts w:ascii="Times New Roman" w:hAnsi="Times New Roman" w:cs="Times New Roman"/>
          <w:strike/>
          <w:sz w:val="24"/>
          <w:szCs w:val="24"/>
        </w:rPr>
      </w:pPr>
      <w:r>
        <w:rPr>
          <w:rFonts w:ascii="Times New Roman" w:hAnsi="Times New Roman" w:cs="Times New Roman"/>
          <w:sz w:val="24"/>
          <w:szCs w:val="24"/>
        </w:rPr>
        <w:tab/>
        <w:t>There is a large body of research that has demonstrated the role that self-efficacy plays in both achievement and career trajectories with well documented gender differences. There is very little research on the role that self-efficacy plays in high school STEM course enrollment patterns. This study represents an early attempt at understanding how self-efficacy impacts these decisions as well as to which sources of self-efficacy are most important to both men and women.</w:t>
      </w:r>
    </w:p>
    <w:p w14:paraId="45A3BDD7" w14:textId="777A3F79" w:rsidR="00E01FDC" w:rsidRDefault="00E01FDC"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000C6DAB">
        <w:rPr>
          <w:rFonts w:ascii="Times New Roman" w:hAnsi="Times New Roman" w:cs="Times New Roman"/>
          <w:sz w:val="24"/>
          <w:szCs w:val="24"/>
        </w:rPr>
        <w:t>To</w:t>
      </w:r>
      <w:r>
        <w:rPr>
          <w:rFonts w:ascii="Times New Roman" w:hAnsi="Times New Roman" w:cs="Times New Roman"/>
          <w:sz w:val="24"/>
          <w:szCs w:val="24"/>
        </w:rPr>
        <w:t xml:space="preserve"> </w:t>
      </w:r>
      <w:r w:rsidR="007F4991">
        <w:rPr>
          <w:rFonts w:ascii="Times New Roman" w:hAnsi="Times New Roman" w:cs="Times New Roman"/>
          <w:sz w:val="24"/>
          <w:szCs w:val="24"/>
        </w:rPr>
        <w:t xml:space="preserve">obtain more accurate </w:t>
      </w:r>
      <w:r>
        <w:rPr>
          <w:rFonts w:ascii="Times New Roman" w:hAnsi="Times New Roman" w:cs="Times New Roman"/>
          <w:sz w:val="24"/>
          <w:szCs w:val="24"/>
        </w:rPr>
        <w:t xml:space="preserve">results that explore the relationship between self-efficacy and </w:t>
      </w:r>
      <w:r>
        <w:rPr>
          <w:rFonts w:ascii="Times New Roman" w:hAnsi="Times New Roman" w:cs="Times New Roman"/>
          <w:sz w:val="24"/>
          <w:szCs w:val="24"/>
        </w:rPr>
        <w:lastRenderedPageBreak/>
        <w:t>high school course enrollment, a larger sample is needed</w:t>
      </w:r>
      <w:r w:rsidR="00B158DD">
        <w:rPr>
          <w:rFonts w:ascii="Times New Roman" w:hAnsi="Times New Roman" w:cs="Times New Roman"/>
          <w:sz w:val="24"/>
          <w:szCs w:val="24"/>
        </w:rPr>
        <w:t>, as</w:t>
      </w:r>
      <w:r>
        <w:rPr>
          <w:rFonts w:ascii="Times New Roman" w:hAnsi="Times New Roman" w:cs="Times New Roman"/>
          <w:sz w:val="24"/>
          <w:szCs w:val="24"/>
        </w:rPr>
        <w:t xml:space="preserve"> </w:t>
      </w:r>
      <w:r w:rsidR="00B158DD">
        <w:rPr>
          <w:rFonts w:ascii="Times New Roman" w:hAnsi="Times New Roman" w:cs="Times New Roman"/>
          <w:sz w:val="24"/>
          <w:szCs w:val="24"/>
        </w:rPr>
        <w:t>l</w:t>
      </w:r>
      <w:r>
        <w:rPr>
          <w:rFonts w:ascii="Times New Roman" w:hAnsi="Times New Roman" w:cs="Times New Roman"/>
          <w:sz w:val="24"/>
          <w:szCs w:val="24"/>
        </w:rPr>
        <w:t>ogistic regression is susceptible to outlier</w:t>
      </w:r>
      <w:r w:rsidR="00B158DD">
        <w:rPr>
          <w:rFonts w:ascii="Times New Roman" w:hAnsi="Times New Roman" w:cs="Times New Roman"/>
          <w:sz w:val="24"/>
          <w:szCs w:val="24"/>
        </w:rPr>
        <w:t xml:space="preserve">s </w:t>
      </w:r>
      <w:r>
        <w:rPr>
          <w:rFonts w:ascii="Times New Roman" w:hAnsi="Times New Roman" w:cs="Times New Roman"/>
          <w:sz w:val="24"/>
          <w:szCs w:val="24"/>
        </w:rPr>
        <w:t xml:space="preserve">and </w:t>
      </w:r>
      <w:r w:rsidR="007F4991">
        <w:rPr>
          <w:rFonts w:ascii="Times New Roman" w:hAnsi="Times New Roman" w:cs="Times New Roman"/>
          <w:sz w:val="24"/>
          <w:szCs w:val="24"/>
        </w:rPr>
        <w:t xml:space="preserve">small </w:t>
      </w:r>
      <w:r>
        <w:rPr>
          <w:rFonts w:ascii="Times New Roman" w:hAnsi="Times New Roman" w:cs="Times New Roman"/>
          <w:sz w:val="24"/>
          <w:szCs w:val="24"/>
        </w:rPr>
        <w:t>sample size</w:t>
      </w:r>
      <w:r w:rsidR="007F4991">
        <w:rPr>
          <w:rFonts w:ascii="Times New Roman" w:hAnsi="Times New Roman" w:cs="Times New Roman"/>
          <w:sz w:val="24"/>
          <w:szCs w:val="24"/>
        </w:rPr>
        <w:t xml:space="preserve">s (Peduzzi et al., </w:t>
      </w:r>
      <w:r w:rsidR="007F4991" w:rsidRPr="00AD36D9">
        <w:rPr>
          <w:rFonts w:ascii="Times New Roman" w:hAnsi="Times New Roman" w:cs="Times New Roman"/>
          <w:sz w:val="24"/>
          <w:szCs w:val="24"/>
        </w:rPr>
        <w:t>1996</w:t>
      </w:r>
      <w:r w:rsidR="007F4991">
        <w:rPr>
          <w:rFonts w:ascii="Times New Roman" w:hAnsi="Times New Roman" w:cs="Times New Roman"/>
          <w:sz w:val="24"/>
          <w:szCs w:val="24"/>
        </w:rPr>
        <w:t>).</w:t>
      </w:r>
      <w:r>
        <w:rPr>
          <w:rFonts w:ascii="Times New Roman" w:hAnsi="Times New Roman" w:cs="Times New Roman"/>
          <w:sz w:val="24"/>
          <w:szCs w:val="24"/>
        </w:rPr>
        <w:t xml:space="preserve"> </w:t>
      </w:r>
      <w:r w:rsidR="007F4991">
        <w:rPr>
          <w:rFonts w:ascii="Times New Roman" w:hAnsi="Times New Roman" w:cs="Times New Roman"/>
          <w:sz w:val="24"/>
          <w:szCs w:val="24"/>
        </w:rPr>
        <w:t>Given</w:t>
      </w:r>
      <w:r w:rsidR="0099093B">
        <w:rPr>
          <w:rFonts w:ascii="Times New Roman" w:hAnsi="Times New Roman" w:cs="Times New Roman"/>
          <w:sz w:val="24"/>
          <w:szCs w:val="24"/>
        </w:rPr>
        <w:t xml:space="preserve"> the </w:t>
      </w:r>
      <w:r w:rsidR="007F4991">
        <w:rPr>
          <w:rFonts w:ascii="Times New Roman" w:hAnsi="Times New Roman" w:cs="Times New Roman"/>
          <w:sz w:val="24"/>
          <w:szCs w:val="24"/>
        </w:rPr>
        <w:t>seven</w:t>
      </w:r>
      <w:r w:rsidR="0099093B">
        <w:rPr>
          <w:rFonts w:ascii="Times New Roman" w:hAnsi="Times New Roman" w:cs="Times New Roman"/>
          <w:sz w:val="24"/>
          <w:szCs w:val="24"/>
        </w:rPr>
        <w:t xml:space="preserve"> </w:t>
      </w:r>
      <w:r w:rsidR="007F4991">
        <w:rPr>
          <w:rFonts w:ascii="Times New Roman" w:hAnsi="Times New Roman" w:cs="Times New Roman"/>
          <w:sz w:val="24"/>
          <w:szCs w:val="24"/>
        </w:rPr>
        <w:t xml:space="preserve">independent </w:t>
      </w:r>
      <w:r w:rsidR="0099093B">
        <w:rPr>
          <w:rFonts w:ascii="Times New Roman" w:hAnsi="Times New Roman" w:cs="Times New Roman"/>
          <w:sz w:val="24"/>
          <w:szCs w:val="24"/>
        </w:rPr>
        <w:t>variables</w:t>
      </w:r>
      <w:r w:rsidR="007F4991">
        <w:rPr>
          <w:rFonts w:ascii="Times New Roman" w:hAnsi="Times New Roman" w:cs="Times New Roman"/>
          <w:sz w:val="24"/>
          <w:szCs w:val="24"/>
        </w:rPr>
        <w:t xml:space="preserve">, more students choosing to take a second year of high school physics from a larger sample was needed to produce a more </w:t>
      </w:r>
      <w:r w:rsidR="00712589">
        <w:rPr>
          <w:rFonts w:ascii="Times New Roman" w:hAnsi="Times New Roman" w:cs="Times New Roman"/>
          <w:sz w:val="24"/>
          <w:szCs w:val="24"/>
        </w:rPr>
        <w:t>reliable</w:t>
      </w:r>
      <w:r w:rsidR="007F4991">
        <w:rPr>
          <w:rFonts w:ascii="Times New Roman" w:hAnsi="Times New Roman" w:cs="Times New Roman"/>
          <w:sz w:val="24"/>
          <w:szCs w:val="24"/>
        </w:rPr>
        <w:t xml:space="preserve"> </w:t>
      </w:r>
      <w:r w:rsidR="00712589">
        <w:rPr>
          <w:rFonts w:ascii="Times New Roman" w:hAnsi="Times New Roman" w:cs="Times New Roman"/>
          <w:sz w:val="24"/>
          <w:szCs w:val="24"/>
        </w:rPr>
        <w:t xml:space="preserve">model as a whole and in mastery </w:t>
      </w:r>
      <w:r w:rsidR="000C6DAB">
        <w:rPr>
          <w:rFonts w:ascii="Times New Roman" w:hAnsi="Times New Roman" w:cs="Times New Roman"/>
          <w:sz w:val="24"/>
          <w:szCs w:val="24"/>
        </w:rPr>
        <w:t>experience</w:t>
      </w:r>
      <w:r>
        <w:rPr>
          <w:rFonts w:ascii="Times New Roman" w:hAnsi="Times New Roman" w:cs="Times New Roman"/>
          <w:sz w:val="24"/>
          <w:szCs w:val="24"/>
        </w:rPr>
        <w:t xml:space="preserve">. </w:t>
      </w:r>
      <w:r w:rsidR="00B336C2">
        <w:rPr>
          <w:rFonts w:ascii="Times New Roman" w:hAnsi="Times New Roman" w:cs="Times New Roman"/>
          <w:sz w:val="24"/>
          <w:szCs w:val="24"/>
        </w:rPr>
        <w:t>T</w:t>
      </w:r>
      <w:r>
        <w:rPr>
          <w:rFonts w:ascii="Times New Roman" w:hAnsi="Times New Roman" w:cs="Times New Roman"/>
          <w:sz w:val="24"/>
          <w:szCs w:val="24"/>
        </w:rPr>
        <w:t xml:space="preserve">his study </w:t>
      </w:r>
      <w:r w:rsidR="000C6DAB">
        <w:rPr>
          <w:rFonts w:ascii="Times New Roman" w:hAnsi="Times New Roman" w:cs="Times New Roman"/>
          <w:sz w:val="24"/>
          <w:szCs w:val="24"/>
        </w:rPr>
        <w:t xml:space="preserve">also </w:t>
      </w:r>
      <w:r>
        <w:rPr>
          <w:rFonts w:ascii="Times New Roman" w:hAnsi="Times New Roman" w:cs="Times New Roman"/>
          <w:sz w:val="24"/>
          <w:szCs w:val="24"/>
        </w:rPr>
        <w:t xml:space="preserve">only measured the level of self-efficacy at a singular moment in time. Those scores were taken at the end of the school year and used to identify the role self-efficacy plays at a moment closest to future high school course enrollment decision making. Levels of self-efficacy have been found to change over time within an introductory college physics course and that there are differences in this change between men and women (Nissen &amp; Shumwell, 2016). Other </w:t>
      </w:r>
      <w:r w:rsidR="000C6DAB">
        <w:rPr>
          <w:rFonts w:ascii="Times New Roman" w:hAnsi="Times New Roman" w:cs="Times New Roman"/>
          <w:sz w:val="24"/>
          <w:szCs w:val="24"/>
        </w:rPr>
        <w:t xml:space="preserve">scholars </w:t>
      </w:r>
      <w:r>
        <w:rPr>
          <w:rFonts w:ascii="Times New Roman" w:hAnsi="Times New Roman" w:cs="Times New Roman"/>
          <w:sz w:val="24"/>
          <w:szCs w:val="24"/>
        </w:rPr>
        <w:t>also have explored longitudinal changes in level of self-efficacy and how those changes are impacted by project</w:t>
      </w:r>
      <w:r w:rsidR="00B158DD">
        <w:rPr>
          <w:rFonts w:ascii="Times New Roman" w:hAnsi="Times New Roman" w:cs="Times New Roman"/>
          <w:sz w:val="24"/>
          <w:szCs w:val="24"/>
        </w:rPr>
        <w:t>-</w:t>
      </w:r>
      <w:r>
        <w:rPr>
          <w:rFonts w:ascii="Times New Roman" w:hAnsi="Times New Roman" w:cs="Times New Roman"/>
          <w:sz w:val="24"/>
          <w:szCs w:val="24"/>
        </w:rPr>
        <w:t xml:space="preserve">based learning in physics (Samsudin et al., 2020) or by differentiated instruction (Lai et al., 2020). Future studies </w:t>
      </w:r>
      <w:r w:rsidR="00B158DD">
        <w:rPr>
          <w:rFonts w:ascii="Times New Roman" w:hAnsi="Times New Roman" w:cs="Times New Roman"/>
          <w:sz w:val="24"/>
          <w:szCs w:val="24"/>
        </w:rPr>
        <w:t>c</w:t>
      </w:r>
      <w:r w:rsidR="00C11245">
        <w:rPr>
          <w:rFonts w:ascii="Times New Roman" w:hAnsi="Times New Roman" w:cs="Times New Roman"/>
          <w:sz w:val="24"/>
          <w:szCs w:val="24"/>
        </w:rPr>
        <w:t xml:space="preserve">ould </w:t>
      </w:r>
      <w:r>
        <w:rPr>
          <w:rFonts w:ascii="Times New Roman" w:hAnsi="Times New Roman" w:cs="Times New Roman"/>
          <w:sz w:val="24"/>
          <w:szCs w:val="24"/>
        </w:rPr>
        <w:t>explore if change in self-efficacy plays a more significant role in future course enrollment rather level of self-efficacy</w:t>
      </w:r>
      <w:r w:rsidR="00B158DD">
        <w:rPr>
          <w:rFonts w:ascii="Times New Roman" w:hAnsi="Times New Roman" w:cs="Times New Roman"/>
          <w:sz w:val="24"/>
          <w:szCs w:val="24"/>
        </w:rPr>
        <w:t xml:space="preserve"> at one point in time</w:t>
      </w:r>
      <w:r>
        <w:rPr>
          <w:rFonts w:ascii="Times New Roman" w:hAnsi="Times New Roman" w:cs="Times New Roman"/>
          <w:sz w:val="24"/>
          <w:szCs w:val="24"/>
        </w:rPr>
        <w:t xml:space="preserve">. </w:t>
      </w:r>
    </w:p>
    <w:p w14:paraId="1FDD89B5" w14:textId="25EF7C01" w:rsidR="00B336C2" w:rsidRDefault="00B336C2"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00986BE9">
        <w:rPr>
          <w:rFonts w:ascii="Times New Roman" w:hAnsi="Times New Roman" w:cs="Times New Roman"/>
          <w:sz w:val="24"/>
          <w:szCs w:val="24"/>
        </w:rPr>
        <w:t xml:space="preserve">This research study </w:t>
      </w:r>
      <w:r w:rsidR="00EE155E">
        <w:rPr>
          <w:rFonts w:ascii="Times New Roman" w:hAnsi="Times New Roman" w:cs="Times New Roman"/>
          <w:sz w:val="24"/>
          <w:szCs w:val="24"/>
        </w:rPr>
        <w:t>approached</w:t>
      </w:r>
      <w:r w:rsidR="00986BE9">
        <w:rPr>
          <w:rFonts w:ascii="Times New Roman" w:hAnsi="Times New Roman" w:cs="Times New Roman"/>
          <w:sz w:val="24"/>
          <w:szCs w:val="24"/>
        </w:rPr>
        <w:t xml:space="preserve"> the problem through a </w:t>
      </w:r>
      <w:r w:rsidR="00EE155E">
        <w:rPr>
          <w:rFonts w:ascii="Times New Roman" w:hAnsi="Times New Roman" w:cs="Times New Roman"/>
          <w:sz w:val="24"/>
          <w:szCs w:val="24"/>
        </w:rPr>
        <w:t>quantitative</w:t>
      </w:r>
      <w:r w:rsidR="00986BE9">
        <w:rPr>
          <w:rFonts w:ascii="Times New Roman" w:hAnsi="Times New Roman" w:cs="Times New Roman"/>
          <w:sz w:val="24"/>
          <w:szCs w:val="24"/>
        </w:rPr>
        <w:t xml:space="preserve"> lens </w:t>
      </w:r>
      <w:r w:rsidR="000C6DAB">
        <w:rPr>
          <w:rFonts w:ascii="Times New Roman" w:hAnsi="Times New Roman" w:cs="Times New Roman"/>
          <w:sz w:val="24"/>
          <w:szCs w:val="24"/>
        </w:rPr>
        <w:t>to</w:t>
      </w:r>
      <w:r w:rsidR="00986BE9">
        <w:rPr>
          <w:rFonts w:ascii="Times New Roman" w:hAnsi="Times New Roman" w:cs="Times New Roman"/>
          <w:sz w:val="24"/>
          <w:szCs w:val="24"/>
        </w:rPr>
        <w:t xml:space="preserve"> explore </w:t>
      </w:r>
      <w:r w:rsidR="002D6DB8">
        <w:rPr>
          <w:rFonts w:ascii="Times New Roman" w:hAnsi="Times New Roman" w:cs="Times New Roman"/>
          <w:sz w:val="24"/>
          <w:szCs w:val="24"/>
        </w:rPr>
        <w:t xml:space="preserve">the </w:t>
      </w:r>
      <w:r w:rsidR="00986BE9">
        <w:rPr>
          <w:rFonts w:ascii="Times New Roman" w:hAnsi="Times New Roman" w:cs="Times New Roman"/>
          <w:sz w:val="24"/>
          <w:szCs w:val="24"/>
        </w:rPr>
        <w:t>predictive rol</w:t>
      </w:r>
      <w:r w:rsidR="002D6DB8">
        <w:rPr>
          <w:rFonts w:ascii="Times New Roman" w:hAnsi="Times New Roman" w:cs="Times New Roman"/>
          <w:sz w:val="24"/>
          <w:szCs w:val="24"/>
        </w:rPr>
        <w:t>e sources of self-efficacy play</w:t>
      </w:r>
      <w:r w:rsidR="00B158DD">
        <w:rPr>
          <w:rFonts w:ascii="Times New Roman" w:hAnsi="Times New Roman" w:cs="Times New Roman"/>
          <w:sz w:val="24"/>
          <w:szCs w:val="24"/>
        </w:rPr>
        <w:t>s</w:t>
      </w:r>
      <w:r w:rsidR="00986BE9">
        <w:rPr>
          <w:rFonts w:ascii="Times New Roman" w:hAnsi="Times New Roman" w:cs="Times New Roman"/>
          <w:sz w:val="24"/>
          <w:szCs w:val="24"/>
        </w:rPr>
        <w:t xml:space="preserve"> </w:t>
      </w:r>
      <w:r w:rsidR="00B158DD">
        <w:rPr>
          <w:rFonts w:ascii="Times New Roman" w:hAnsi="Times New Roman" w:cs="Times New Roman"/>
          <w:sz w:val="24"/>
          <w:szCs w:val="24"/>
        </w:rPr>
        <w:t>in</w:t>
      </w:r>
      <w:r w:rsidR="00986BE9">
        <w:rPr>
          <w:rFonts w:ascii="Times New Roman" w:hAnsi="Times New Roman" w:cs="Times New Roman"/>
          <w:sz w:val="24"/>
          <w:szCs w:val="24"/>
        </w:rPr>
        <w:t xml:space="preserve"> high school </w:t>
      </w:r>
      <w:r w:rsidR="00B158DD">
        <w:rPr>
          <w:rFonts w:ascii="Times New Roman" w:hAnsi="Times New Roman" w:cs="Times New Roman"/>
          <w:sz w:val="24"/>
          <w:szCs w:val="24"/>
        </w:rPr>
        <w:t xml:space="preserve">advanced physics </w:t>
      </w:r>
      <w:r w:rsidR="00986BE9">
        <w:rPr>
          <w:rFonts w:ascii="Times New Roman" w:hAnsi="Times New Roman" w:cs="Times New Roman"/>
          <w:sz w:val="24"/>
          <w:szCs w:val="24"/>
        </w:rPr>
        <w:t xml:space="preserve">enrollment decisions by </w:t>
      </w:r>
      <w:r w:rsidR="002D6DB8">
        <w:rPr>
          <w:rFonts w:ascii="Times New Roman" w:hAnsi="Times New Roman" w:cs="Times New Roman"/>
          <w:sz w:val="24"/>
          <w:szCs w:val="24"/>
        </w:rPr>
        <w:t>students</w:t>
      </w:r>
      <w:r w:rsidR="00986BE9">
        <w:rPr>
          <w:rFonts w:ascii="Times New Roman" w:hAnsi="Times New Roman" w:cs="Times New Roman"/>
          <w:sz w:val="24"/>
          <w:szCs w:val="24"/>
        </w:rPr>
        <w:t>. A particular emphasis was to look for any gender differences</w:t>
      </w:r>
      <w:r w:rsidR="002D6DB8">
        <w:rPr>
          <w:rFonts w:ascii="Times New Roman" w:hAnsi="Times New Roman" w:cs="Times New Roman"/>
          <w:sz w:val="24"/>
          <w:szCs w:val="24"/>
        </w:rPr>
        <w:t xml:space="preserve"> between high school men and women</w:t>
      </w:r>
      <w:r w:rsidR="00986BE9">
        <w:rPr>
          <w:rFonts w:ascii="Times New Roman" w:hAnsi="Times New Roman" w:cs="Times New Roman"/>
          <w:sz w:val="24"/>
          <w:szCs w:val="24"/>
        </w:rPr>
        <w:t xml:space="preserve">. </w:t>
      </w:r>
      <w:r w:rsidR="002D6DB8">
        <w:rPr>
          <w:rFonts w:ascii="Times New Roman" w:hAnsi="Times New Roman" w:cs="Times New Roman"/>
          <w:sz w:val="24"/>
          <w:szCs w:val="24"/>
        </w:rPr>
        <w:t>R</w:t>
      </w:r>
      <w:r w:rsidR="00986BE9">
        <w:rPr>
          <w:rFonts w:ascii="Times New Roman" w:hAnsi="Times New Roman" w:cs="Times New Roman"/>
          <w:sz w:val="24"/>
          <w:szCs w:val="24"/>
        </w:rPr>
        <w:t xml:space="preserve">esults demonstrated a </w:t>
      </w:r>
      <w:r w:rsidR="00B158DD">
        <w:rPr>
          <w:rFonts w:ascii="Times New Roman" w:hAnsi="Times New Roman" w:cs="Times New Roman"/>
          <w:sz w:val="24"/>
          <w:szCs w:val="24"/>
        </w:rPr>
        <w:t xml:space="preserve">significant role </w:t>
      </w:r>
      <w:r w:rsidR="00986BE9">
        <w:rPr>
          <w:rFonts w:ascii="Times New Roman" w:hAnsi="Times New Roman" w:cs="Times New Roman"/>
          <w:sz w:val="24"/>
          <w:szCs w:val="24"/>
        </w:rPr>
        <w:t>o</w:t>
      </w:r>
      <w:r w:rsidR="00B158DD">
        <w:rPr>
          <w:rFonts w:ascii="Times New Roman" w:hAnsi="Times New Roman" w:cs="Times New Roman"/>
          <w:sz w:val="24"/>
          <w:szCs w:val="24"/>
        </w:rPr>
        <w:t>f</w:t>
      </w:r>
      <w:r w:rsidR="00986BE9">
        <w:rPr>
          <w:rFonts w:ascii="Times New Roman" w:hAnsi="Times New Roman" w:cs="Times New Roman"/>
          <w:sz w:val="24"/>
          <w:szCs w:val="24"/>
        </w:rPr>
        <w:t xml:space="preserve"> mastery learning </w:t>
      </w:r>
      <w:r w:rsidR="00B158DD">
        <w:rPr>
          <w:rFonts w:ascii="Times New Roman" w:hAnsi="Times New Roman" w:cs="Times New Roman"/>
          <w:sz w:val="24"/>
          <w:szCs w:val="24"/>
        </w:rPr>
        <w:t xml:space="preserve">on </w:t>
      </w:r>
      <w:r w:rsidR="00986BE9">
        <w:rPr>
          <w:rFonts w:ascii="Times New Roman" w:hAnsi="Times New Roman" w:cs="Times New Roman"/>
          <w:sz w:val="24"/>
          <w:szCs w:val="24"/>
        </w:rPr>
        <w:t>its impact on the choice by women</w:t>
      </w:r>
      <w:r w:rsidR="002D6DB8">
        <w:rPr>
          <w:rFonts w:ascii="Times New Roman" w:hAnsi="Times New Roman" w:cs="Times New Roman"/>
          <w:sz w:val="24"/>
          <w:szCs w:val="24"/>
        </w:rPr>
        <w:t xml:space="preserve"> in </w:t>
      </w:r>
      <w:r w:rsidR="008159B8">
        <w:rPr>
          <w:rFonts w:ascii="Times New Roman" w:hAnsi="Times New Roman" w:cs="Times New Roman"/>
          <w:sz w:val="24"/>
          <w:szCs w:val="24"/>
        </w:rPr>
        <w:t>second-year physics</w:t>
      </w:r>
      <w:r w:rsidR="002D6DB8">
        <w:rPr>
          <w:rFonts w:ascii="Times New Roman" w:hAnsi="Times New Roman" w:cs="Times New Roman"/>
          <w:sz w:val="24"/>
          <w:szCs w:val="24"/>
        </w:rPr>
        <w:t xml:space="preserve"> enrollment</w:t>
      </w:r>
      <w:r w:rsidR="00986BE9">
        <w:rPr>
          <w:rFonts w:ascii="Times New Roman" w:hAnsi="Times New Roman" w:cs="Times New Roman"/>
          <w:sz w:val="24"/>
          <w:szCs w:val="24"/>
        </w:rPr>
        <w:t xml:space="preserve">. Lacking in the current body of research is a </w:t>
      </w:r>
      <w:r w:rsidR="00EE155E">
        <w:rPr>
          <w:rFonts w:ascii="Times New Roman" w:hAnsi="Times New Roman" w:cs="Times New Roman"/>
          <w:sz w:val="24"/>
          <w:szCs w:val="24"/>
        </w:rPr>
        <w:t>rationale</w:t>
      </w:r>
      <w:r w:rsidR="00986BE9">
        <w:rPr>
          <w:rFonts w:ascii="Times New Roman" w:hAnsi="Times New Roman" w:cs="Times New Roman"/>
          <w:sz w:val="24"/>
          <w:szCs w:val="24"/>
        </w:rPr>
        <w:t xml:space="preserve"> </w:t>
      </w:r>
      <w:r w:rsidR="00B158DD">
        <w:rPr>
          <w:rFonts w:ascii="Times New Roman" w:hAnsi="Times New Roman" w:cs="Times New Roman"/>
          <w:sz w:val="24"/>
          <w:szCs w:val="24"/>
        </w:rPr>
        <w:t>as to why such is the case</w:t>
      </w:r>
      <w:r w:rsidR="00986BE9">
        <w:rPr>
          <w:rFonts w:ascii="Times New Roman" w:hAnsi="Times New Roman" w:cs="Times New Roman"/>
          <w:sz w:val="24"/>
          <w:szCs w:val="24"/>
        </w:rPr>
        <w:t xml:space="preserve">. </w:t>
      </w:r>
      <w:r w:rsidR="00B158DD">
        <w:rPr>
          <w:rFonts w:ascii="Times New Roman" w:hAnsi="Times New Roman" w:cs="Times New Roman"/>
          <w:sz w:val="24"/>
          <w:szCs w:val="24"/>
        </w:rPr>
        <w:t>Perhaps, f</w:t>
      </w:r>
      <w:r w:rsidR="00986BE9">
        <w:rPr>
          <w:rFonts w:ascii="Times New Roman" w:hAnsi="Times New Roman" w:cs="Times New Roman"/>
          <w:sz w:val="24"/>
          <w:szCs w:val="24"/>
        </w:rPr>
        <w:t xml:space="preserve">uture </w:t>
      </w:r>
      <w:r w:rsidR="00EE155E">
        <w:rPr>
          <w:rFonts w:ascii="Times New Roman" w:hAnsi="Times New Roman" w:cs="Times New Roman"/>
          <w:sz w:val="24"/>
          <w:szCs w:val="24"/>
        </w:rPr>
        <w:t>research</w:t>
      </w:r>
      <w:r w:rsidR="00986BE9">
        <w:rPr>
          <w:rFonts w:ascii="Times New Roman" w:hAnsi="Times New Roman" w:cs="Times New Roman"/>
          <w:sz w:val="24"/>
          <w:szCs w:val="24"/>
        </w:rPr>
        <w:t xml:space="preserve"> </w:t>
      </w:r>
      <w:r w:rsidR="00B158DD">
        <w:rPr>
          <w:rFonts w:ascii="Times New Roman" w:hAnsi="Times New Roman" w:cs="Times New Roman"/>
          <w:sz w:val="24"/>
          <w:szCs w:val="24"/>
        </w:rPr>
        <w:t xml:space="preserve">could </w:t>
      </w:r>
      <w:r w:rsidR="00986BE9">
        <w:rPr>
          <w:rFonts w:ascii="Times New Roman" w:hAnsi="Times New Roman" w:cs="Times New Roman"/>
          <w:sz w:val="24"/>
          <w:szCs w:val="24"/>
        </w:rPr>
        <w:t xml:space="preserve">employ a qualitative approach to dive deeper into the thought process of women when making this enrollment decision at such a critical time in their STEM trajectories. </w:t>
      </w:r>
      <w:r w:rsidR="00B158DD">
        <w:rPr>
          <w:rFonts w:ascii="Times New Roman" w:hAnsi="Times New Roman" w:cs="Times New Roman"/>
          <w:sz w:val="24"/>
          <w:szCs w:val="24"/>
        </w:rPr>
        <w:t>Such</w:t>
      </w:r>
      <w:r w:rsidR="002D6DB8">
        <w:rPr>
          <w:rFonts w:ascii="Times New Roman" w:hAnsi="Times New Roman" w:cs="Times New Roman"/>
          <w:sz w:val="24"/>
          <w:szCs w:val="24"/>
        </w:rPr>
        <w:t xml:space="preserve"> research could </w:t>
      </w:r>
      <w:r w:rsidR="00AC1F6C">
        <w:rPr>
          <w:rFonts w:ascii="Times New Roman" w:hAnsi="Times New Roman" w:cs="Times New Roman"/>
          <w:sz w:val="24"/>
          <w:szCs w:val="24"/>
        </w:rPr>
        <w:t xml:space="preserve">address </w:t>
      </w:r>
      <w:r w:rsidR="002D6DB8">
        <w:rPr>
          <w:rFonts w:ascii="Times New Roman" w:hAnsi="Times New Roman" w:cs="Times New Roman"/>
          <w:sz w:val="24"/>
          <w:szCs w:val="24"/>
        </w:rPr>
        <w:t xml:space="preserve">both </w:t>
      </w:r>
      <w:r w:rsidR="00B158DD">
        <w:rPr>
          <w:rFonts w:ascii="Times New Roman" w:hAnsi="Times New Roman" w:cs="Times New Roman"/>
          <w:sz w:val="24"/>
          <w:szCs w:val="24"/>
        </w:rPr>
        <w:t>how and why</w:t>
      </w:r>
      <w:r w:rsidR="002D6DB8">
        <w:rPr>
          <w:rFonts w:ascii="Times New Roman" w:hAnsi="Times New Roman" w:cs="Times New Roman"/>
          <w:sz w:val="24"/>
          <w:szCs w:val="24"/>
        </w:rPr>
        <w:t xml:space="preserve"> mastery experiences is important to woman </w:t>
      </w:r>
      <w:r w:rsidR="00B158DD">
        <w:rPr>
          <w:rFonts w:ascii="Times New Roman" w:hAnsi="Times New Roman" w:cs="Times New Roman"/>
          <w:sz w:val="24"/>
          <w:szCs w:val="24"/>
        </w:rPr>
        <w:t xml:space="preserve">in their decision to move to the next level of physics (and possibly other STEM courses). </w:t>
      </w:r>
      <w:r w:rsidR="00CE1B39">
        <w:rPr>
          <w:rFonts w:ascii="Times New Roman" w:hAnsi="Times New Roman" w:cs="Times New Roman"/>
          <w:sz w:val="24"/>
          <w:szCs w:val="24"/>
        </w:rPr>
        <w:t>Q</w:t>
      </w:r>
      <w:r w:rsidR="00711335">
        <w:rPr>
          <w:rFonts w:ascii="Times New Roman" w:hAnsi="Times New Roman" w:cs="Times New Roman"/>
          <w:sz w:val="24"/>
          <w:szCs w:val="24"/>
        </w:rPr>
        <w:t>ualitative research</w:t>
      </w:r>
      <w:r w:rsidR="00CE1B39">
        <w:rPr>
          <w:rFonts w:ascii="Times New Roman" w:hAnsi="Times New Roman" w:cs="Times New Roman"/>
          <w:sz w:val="24"/>
          <w:szCs w:val="24"/>
        </w:rPr>
        <w:t xml:space="preserve">, as </w:t>
      </w:r>
      <w:r w:rsidR="00CE1B39">
        <w:rPr>
          <w:rFonts w:ascii="Times New Roman" w:hAnsi="Times New Roman" w:cs="Times New Roman"/>
          <w:sz w:val="24"/>
          <w:szCs w:val="24"/>
        </w:rPr>
        <w:lastRenderedPageBreak/>
        <w:t>described,</w:t>
      </w:r>
      <w:r w:rsidR="00711335">
        <w:rPr>
          <w:rFonts w:ascii="Times New Roman" w:hAnsi="Times New Roman" w:cs="Times New Roman"/>
          <w:sz w:val="24"/>
          <w:szCs w:val="24"/>
        </w:rPr>
        <w:t xml:space="preserve"> could </w:t>
      </w:r>
      <w:r w:rsidR="00CE1B39">
        <w:rPr>
          <w:rFonts w:ascii="Times New Roman" w:hAnsi="Times New Roman" w:cs="Times New Roman"/>
          <w:sz w:val="24"/>
          <w:szCs w:val="24"/>
        </w:rPr>
        <w:t xml:space="preserve">help </w:t>
      </w:r>
      <w:r w:rsidR="00711335">
        <w:rPr>
          <w:rFonts w:ascii="Times New Roman" w:hAnsi="Times New Roman" w:cs="Times New Roman"/>
          <w:sz w:val="24"/>
          <w:szCs w:val="24"/>
        </w:rPr>
        <w:t>explain or extend the</w:t>
      </w:r>
      <w:r w:rsidR="00CE1B39">
        <w:rPr>
          <w:rFonts w:ascii="Times New Roman" w:hAnsi="Times New Roman" w:cs="Times New Roman"/>
          <w:sz w:val="24"/>
          <w:szCs w:val="24"/>
        </w:rPr>
        <w:t xml:space="preserve"> current</w:t>
      </w:r>
      <w:r w:rsidR="00711335">
        <w:rPr>
          <w:rFonts w:ascii="Times New Roman" w:hAnsi="Times New Roman" w:cs="Times New Roman"/>
          <w:sz w:val="24"/>
          <w:szCs w:val="24"/>
        </w:rPr>
        <w:t xml:space="preserve"> </w:t>
      </w:r>
      <w:r w:rsidR="00EE155E">
        <w:rPr>
          <w:rFonts w:ascii="Times New Roman" w:hAnsi="Times New Roman" w:cs="Times New Roman"/>
          <w:sz w:val="24"/>
          <w:szCs w:val="24"/>
        </w:rPr>
        <w:t>research</w:t>
      </w:r>
      <w:r w:rsidR="00711335">
        <w:rPr>
          <w:rFonts w:ascii="Times New Roman" w:hAnsi="Times New Roman" w:cs="Times New Roman"/>
          <w:sz w:val="24"/>
          <w:szCs w:val="24"/>
        </w:rPr>
        <w:t xml:space="preserve"> findings </w:t>
      </w:r>
      <w:r w:rsidR="00CE1B39">
        <w:rPr>
          <w:rFonts w:ascii="Times New Roman" w:hAnsi="Times New Roman" w:cs="Times New Roman"/>
          <w:sz w:val="24"/>
          <w:szCs w:val="24"/>
        </w:rPr>
        <w:t>through the perspectives and voices of women making such important course decisions</w:t>
      </w:r>
      <w:r w:rsidR="00711335">
        <w:rPr>
          <w:rFonts w:ascii="Times New Roman" w:hAnsi="Times New Roman" w:cs="Times New Roman"/>
          <w:sz w:val="24"/>
          <w:szCs w:val="24"/>
        </w:rPr>
        <w:t xml:space="preserve"> (Tedd</w:t>
      </w:r>
      <w:r w:rsidR="00AF506D">
        <w:rPr>
          <w:rFonts w:ascii="Times New Roman" w:hAnsi="Times New Roman" w:cs="Times New Roman"/>
          <w:sz w:val="24"/>
          <w:szCs w:val="24"/>
        </w:rPr>
        <w:t>l</w:t>
      </w:r>
      <w:r w:rsidR="00711335">
        <w:rPr>
          <w:rFonts w:ascii="Times New Roman" w:hAnsi="Times New Roman" w:cs="Times New Roman"/>
          <w:sz w:val="24"/>
          <w:szCs w:val="24"/>
        </w:rPr>
        <w:t>ie &amp; Tashakkori, 2009).</w:t>
      </w:r>
    </w:p>
    <w:p w14:paraId="35B6CAC1" w14:textId="77777777" w:rsidR="00E01FDC" w:rsidRPr="00B83D94" w:rsidRDefault="00E01FDC" w:rsidP="00BA4A2D">
      <w:pPr>
        <w:pStyle w:val="Heading2"/>
      </w:pPr>
      <w:bookmarkStart w:id="66" w:name="_Toc117501938"/>
      <w:r>
        <w:t>Conclusion</w:t>
      </w:r>
      <w:bookmarkEnd w:id="66"/>
    </w:p>
    <w:p w14:paraId="3727D5D0" w14:textId="56CB5B5A" w:rsidR="00BC1DD1" w:rsidRDefault="00BC1DD1" w:rsidP="00BA4A2D">
      <w:pPr>
        <w:widowControl w:val="0"/>
        <w:tabs>
          <w:tab w:val="left" w:pos="720"/>
          <w:tab w:val="left" w:pos="1457"/>
        </w:tabs>
        <w:spacing w:after="0" w:line="480" w:lineRule="auto"/>
        <w:rPr>
          <w:rFonts w:ascii="Times New Roman" w:hAnsi="Times New Roman" w:cs="Times New Roman"/>
          <w:sz w:val="24"/>
          <w:szCs w:val="24"/>
        </w:rPr>
      </w:pPr>
      <w:r>
        <w:rPr>
          <w:rFonts w:ascii="Times New Roman" w:hAnsi="Times New Roman" w:cs="Times New Roman"/>
          <w:sz w:val="24"/>
          <w:szCs w:val="24"/>
        </w:rPr>
        <w:tab/>
        <w:t>Future career opportunities for students are growing in the STEM fields of data management, storage, and analysis. Computing and information technology will be the fastest growing occupation over the next ten years (Bureau of Labor Statistics, 2020). However, the opportunity to share in this growth is not equally shared by both men and women as evident by underrepresentation of women in STEM careers (</w:t>
      </w:r>
      <w:r w:rsidR="00264AE0">
        <w:rPr>
          <w:rFonts w:ascii="Times New Roman" w:hAnsi="Times New Roman" w:cs="Times New Roman"/>
          <w:sz w:val="24"/>
          <w:szCs w:val="24"/>
        </w:rPr>
        <w:t>Bureau of Labor Statistics, 2020)</w:t>
      </w:r>
      <w:r w:rsidR="00130C87">
        <w:rPr>
          <w:rFonts w:ascii="Times New Roman" w:hAnsi="Times New Roman" w:cs="Times New Roman"/>
          <w:sz w:val="24"/>
          <w:szCs w:val="24"/>
        </w:rPr>
        <w:t>,</w:t>
      </w:r>
      <w:r w:rsidR="00264AE0">
        <w:rPr>
          <w:rFonts w:ascii="Times New Roman" w:hAnsi="Times New Roman" w:cs="Times New Roman"/>
          <w:sz w:val="24"/>
          <w:szCs w:val="24"/>
        </w:rPr>
        <w:t xml:space="preserve"> STEM publications (Holman et </w:t>
      </w:r>
      <w:r w:rsidR="00613D1B">
        <w:rPr>
          <w:rFonts w:ascii="Times New Roman" w:hAnsi="Times New Roman" w:cs="Times New Roman"/>
          <w:sz w:val="24"/>
          <w:szCs w:val="24"/>
        </w:rPr>
        <w:t>al., 2018</w:t>
      </w:r>
      <w:r w:rsidR="00264AE0">
        <w:rPr>
          <w:rFonts w:ascii="Times New Roman" w:hAnsi="Times New Roman" w:cs="Times New Roman"/>
          <w:sz w:val="24"/>
          <w:szCs w:val="24"/>
        </w:rPr>
        <w:t>; Sauder et al., 2022)</w:t>
      </w:r>
      <w:r w:rsidR="00130C87">
        <w:rPr>
          <w:rFonts w:ascii="Times New Roman" w:hAnsi="Times New Roman" w:cs="Times New Roman"/>
          <w:sz w:val="24"/>
          <w:szCs w:val="24"/>
        </w:rPr>
        <w:t>,</w:t>
      </w:r>
      <w:r w:rsidR="00264AE0">
        <w:rPr>
          <w:rFonts w:ascii="Times New Roman" w:hAnsi="Times New Roman" w:cs="Times New Roman"/>
          <w:sz w:val="24"/>
          <w:szCs w:val="24"/>
        </w:rPr>
        <w:t xml:space="preserve"> and STEM college degrees (Roy, 2018; Stout et al., 2016). </w:t>
      </w:r>
    </w:p>
    <w:p w14:paraId="408D2C4C" w14:textId="7274C2D4" w:rsidR="00E01FDC" w:rsidRDefault="00203F62" w:rsidP="00BA4A2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research </w:t>
      </w:r>
      <w:r w:rsidR="00130C87">
        <w:rPr>
          <w:rFonts w:ascii="Times New Roman" w:hAnsi="Times New Roman" w:cs="Times New Roman"/>
          <w:sz w:val="24"/>
          <w:szCs w:val="24"/>
        </w:rPr>
        <w:t xml:space="preserve">built </w:t>
      </w:r>
      <w:r>
        <w:rPr>
          <w:rFonts w:ascii="Times New Roman" w:hAnsi="Times New Roman" w:cs="Times New Roman"/>
          <w:sz w:val="24"/>
          <w:szCs w:val="24"/>
        </w:rPr>
        <w:t>off the work of Sadler et al. (2014) and Suana (2018)</w:t>
      </w:r>
      <w:r w:rsidR="00D91A46">
        <w:rPr>
          <w:rFonts w:ascii="Times New Roman" w:hAnsi="Times New Roman" w:cs="Times New Roman"/>
          <w:sz w:val="24"/>
          <w:szCs w:val="24"/>
        </w:rPr>
        <w:t>,</w:t>
      </w:r>
      <w:r>
        <w:rPr>
          <w:rFonts w:ascii="Times New Roman" w:hAnsi="Times New Roman" w:cs="Times New Roman"/>
          <w:sz w:val="24"/>
          <w:szCs w:val="24"/>
        </w:rPr>
        <w:t xml:space="preserve"> wh</w:t>
      </w:r>
      <w:r w:rsidR="00D91A46">
        <w:rPr>
          <w:rFonts w:ascii="Times New Roman" w:hAnsi="Times New Roman" w:cs="Times New Roman"/>
          <w:sz w:val="24"/>
          <w:szCs w:val="24"/>
        </w:rPr>
        <w:t>o</w:t>
      </w:r>
      <w:r>
        <w:rPr>
          <w:rFonts w:ascii="Times New Roman" w:hAnsi="Times New Roman" w:cs="Times New Roman"/>
          <w:sz w:val="24"/>
          <w:szCs w:val="24"/>
        </w:rPr>
        <w:t xml:space="preserve"> demonstrated the importance of a second year of physics on STEM career trajectories as well as </w:t>
      </w:r>
      <w:r w:rsidRPr="00AD36D9">
        <w:rPr>
          <w:rFonts w:ascii="Times New Roman" w:hAnsi="Times New Roman" w:cs="Times New Roman"/>
          <w:sz w:val="24"/>
          <w:szCs w:val="24"/>
        </w:rPr>
        <w:t xml:space="preserve">the work </w:t>
      </w:r>
      <w:r>
        <w:rPr>
          <w:rFonts w:ascii="Times New Roman" w:hAnsi="Times New Roman" w:cs="Times New Roman"/>
          <w:sz w:val="24"/>
          <w:szCs w:val="24"/>
        </w:rPr>
        <w:t xml:space="preserve">Sawtelle (2011) </w:t>
      </w:r>
      <w:r w:rsidR="00130C87">
        <w:rPr>
          <w:rFonts w:ascii="Times New Roman" w:hAnsi="Times New Roman" w:cs="Times New Roman"/>
          <w:sz w:val="24"/>
          <w:szCs w:val="24"/>
        </w:rPr>
        <w:t xml:space="preserve">which demonstrated </w:t>
      </w:r>
      <w:r>
        <w:rPr>
          <w:rFonts w:ascii="Times New Roman" w:hAnsi="Times New Roman" w:cs="Times New Roman"/>
          <w:sz w:val="24"/>
          <w:szCs w:val="24"/>
        </w:rPr>
        <w:t>the importance of self-efficacy in college science course enrollment. This current study investigated</w:t>
      </w:r>
      <w:r w:rsidR="00E01FDC">
        <w:rPr>
          <w:rFonts w:ascii="Times New Roman" w:hAnsi="Times New Roman" w:cs="Times New Roman"/>
          <w:sz w:val="24"/>
          <w:szCs w:val="24"/>
        </w:rPr>
        <w:t xml:space="preserve"> the relationship between  Bandura’s four sources of self-efficacy and enrollment in a second year of high school physics</w:t>
      </w:r>
      <w:r w:rsidR="0009429B">
        <w:rPr>
          <w:rFonts w:ascii="Times New Roman" w:hAnsi="Times New Roman" w:cs="Times New Roman"/>
          <w:sz w:val="24"/>
          <w:szCs w:val="24"/>
        </w:rPr>
        <w:t xml:space="preserve"> </w:t>
      </w:r>
      <w:r w:rsidR="00D91A46">
        <w:rPr>
          <w:rFonts w:ascii="Times New Roman" w:hAnsi="Times New Roman" w:cs="Times New Roman"/>
          <w:sz w:val="24"/>
          <w:szCs w:val="24"/>
        </w:rPr>
        <w:t>to</w:t>
      </w:r>
      <w:r w:rsidR="0009429B">
        <w:rPr>
          <w:rFonts w:ascii="Times New Roman" w:hAnsi="Times New Roman" w:cs="Times New Roman"/>
          <w:sz w:val="24"/>
          <w:szCs w:val="24"/>
        </w:rPr>
        <w:t xml:space="preserve"> explore the reasons for underrepresentation of women in STEM careers</w:t>
      </w:r>
      <w:r w:rsidR="00E01FDC">
        <w:rPr>
          <w:rFonts w:ascii="Times New Roman" w:hAnsi="Times New Roman" w:cs="Times New Roman"/>
          <w:sz w:val="24"/>
          <w:szCs w:val="24"/>
        </w:rPr>
        <w:t xml:space="preserve">. The analysis and answers to </w:t>
      </w:r>
      <w:r w:rsidR="00D91A46">
        <w:rPr>
          <w:rFonts w:ascii="Times New Roman" w:hAnsi="Times New Roman" w:cs="Times New Roman"/>
          <w:sz w:val="24"/>
          <w:szCs w:val="24"/>
        </w:rPr>
        <w:t>both research</w:t>
      </w:r>
      <w:r w:rsidR="00E01FDC">
        <w:rPr>
          <w:rFonts w:ascii="Times New Roman" w:hAnsi="Times New Roman" w:cs="Times New Roman"/>
          <w:sz w:val="24"/>
          <w:szCs w:val="24"/>
        </w:rPr>
        <w:t xml:space="preserve"> questions demonstrated that</w:t>
      </w:r>
      <w:r w:rsidR="0009429B">
        <w:rPr>
          <w:rFonts w:ascii="Times New Roman" w:hAnsi="Times New Roman" w:cs="Times New Roman"/>
          <w:sz w:val="24"/>
          <w:szCs w:val="24"/>
        </w:rPr>
        <w:t xml:space="preserve"> mastery experience as a source </w:t>
      </w:r>
      <w:r w:rsidR="00EE155E">
        <w:rPr>
          <w:rFonts w:ascii="Times New Roman" w:hAnsi="Times New Roman" w:cs="Times New Roman"/>
          <w:sz w:val="24"/>
          <w:szCs w:val="24"/>
        </w:rPr>
        <w:t>of self</w:t>
      </w:r>
      <w:r w:rsidR="00E01FDC">
        <w:rPr>
          <w:rFonts w:ascii="Times New Roman" w:hAnsi="Times New Roman" w:cs="Times New Roman"/>
          <w:sz w:val="24"/>
          <w:szCs w:val="24"/>
        </w:rPr>
        <w:t xml:space="preserve">-efficacy is a significant variable in predicting future high school enrollment. Also, </w:t>
      </w:r>
      <w:r w:rsidR="00D91A46">
        <w:rPr>
          <w:rFonts w:ascii="Times New Roman" w:hAnsi="Times New Roman" w:cs="Times New Roman"/>
          <w:sz w:val="24"/>
          <w:szCs w:val="24"/>
        </w:rPr>
        <w:t>the results suggest</w:t>
      </w:r>
      <w:r w:rsidR="00E01FDC">
        <w:rPr>
          <w:rFonts w:ascii="Times New Roman" w:hAnsi="Times New Roman" w:cs="Times New Roman"/>
          <w:sz w:val="24"/>
          <w:szCs w:val="24"/>
        </w:rPr>
        <w:t xml:space="preserve"> mastery experiences</w:t>
      </w:r>
      <w:r w:rsidR="0009429B">
        <w:rPr>
          <w:rFonts w:ascii="Times New Roman" w:hAnsi="Times New Roman" w:cs="Times New Roman"/>
          <w:sz w:val="24"/>
          <w:szCs w:val="24"/>
        </w:rPr>
        <w:t xml:space="preserve"> are </w:t>
      </w:r>
      <w:r w:rsidR="00EE155E">
        <w:rPr>
          <w:rFonts w:ascii="Times New Roman" w:hAnsi="Times New Roman" w:cs="Times New Roman"/>
          <w:sz w:val="24"/>
          <w:szCs w:val="24"/>
        </w:rPr>
        <w:t>particularly</w:t>
      </w:r>
      <w:r w:rsidR="0009429B">
        <w:rPr>
          <w:rFonts w:ascii="Times New Roman" w:hAnsi="Times New Roman" w:cs="Times New Roman"/>
          <w:sz w:val="24"/>
          <w:szCs w:val="24"/>
        </w:rPr>
        <w:t xml:space="preserve"> impactful for women choosing a second year of high school physics.</w:t>
      </w:r>
    </w:p>
    <w:p w14:paraId="02E945D1" w14:textId="7225F2D8" w:rsidR="00E01FDC" w:rsidRDefault="00E01FDC"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 review of the literature has described the problem of a decrease in the number of women taking a second year of highs school physics as compared to men and its impact on the science and engineering career trajectories of women. Women who take two years of high school physics are more likely to pursue science and engineering careers. The literature has also shown </w:t>
      </w:r>
      <w:r>
        <w:rPr>
          <w:rFonts w:ascii="Times New Roman" w:hAnsi="Times New Roman" w:cs="Times New Roman"/>
          <w:sz w:val="24"/>
          <w:szCs w:val="24"/>
        </w:rPr>
        <w:lastRenderedPageBreak/>
        <w:t>a possible framework to view the problem.  Bandura’s</w:t>
      </w:r>
      <w:r w:rsidR="00D91A46">
        <w:rPr>
          <w:rFonts w:ascii="Times New Roman" w:hAnsi="Times New Roman" w:cs="Times New Roman"/>
          <w:sz w:val="24"/>
          <w:szCs w:val="24"/>
        </w:rPr>
        <w:t xml:space="preserve"> (1977) s</w:t>
      </w:r>
      <w:r>
        <w:rPr>
          <w:rFonts w:ascii="Times New Roman" w:hAnsi="Times New Roman" w:cs="Times New Roman"/>
          <w:sz w:val="24"/>
          <w:szCs w:val="24"/>
        </w:rPr>
        <w:t xml:space="preserve">ocial </w:t>
      </w:r>
      <w:r w:rsidR="00D91A46">
        <w:rPr>
          <w:rFonts w:ascii="Times New Roman" w:hAnsi="Times New Roman" w:cs="Times New Roman"/>
          <w:sz w:val="24"/>
          <w:szCs w:val="24"/>
        </w:rPr>
        <w:t>c</w:t>
      </w:r>
      <w:r>
        <w:rPr>
          <w:rFonts w:ascii="Times New Roman" w:hAnsi="Times New Roman" w:cs="Times New Roman"/>
          <w:sz w:val="24"/>
          <w:szCs w:val="24"/>
        </w:rPr>
        <w:t xml:space="preserve">ognitive </w:t>
      </w:r>
      <w:r w:rsidR="00D91A46">
        <w:rPr>
          <w:rFonts w:ascii="Times New Roman" w:hAnsi="Times New Roman" w:cs="Times New Roman"/>
          <w:sz w:val="24"/>
          <w:szCs w:val="24"/>
        </w:rPr>
        <w:t>t</w:t>
      </w:r>
      <w:r>
        <w:rPr>
          <w:rFonts w:ascii="Times New Roman" w:hAnsi="Times New Roman" w:cs="Times New Roman"/>
          <w:sz w:val="24"/>
          <w:szCs w:val="24"/>
        </w:rPr>
        <w:t>heory, including self-efficacy and its four sources, provides an insight into an individual’s decision</w:t>
      </w:r>
      <w:r w:rsidR="00CE1B39">
        <w:rPr>
          <w:rFonts w:ascii="Times New Roman" w:hAnsi="Times New Roman" w:cs="Times New Roman"/>
          <w:sz w:val="24"/>
          <w:szCs w:val="24"/>
        </w:rPr>
        <w:t>-</w:t>
      </w:r>
      <w:r>
        <w:rPr>
          <w:rFonts w:ascii="Times New Roman" w:hAnsi="Times New Roman" w:cs="Times New Roman"/>
          <w:sz w:val="24"/>
          <w:szCs w:val="24"/>
        </w:rPr>
        <w:t xml:space="preserve">making process and choices about perseverance. This study has built upon the research of </w:t>
      </w:r>
      <w:r w:rsidRPr="00AD36D9">
        <w:rPr>
          <w:rFonts w:ascii="Times New Roman" w:hAnsi="Times New Roman" w:cs="Times New Roman"/>
          <w:sz w:val="24"/>
          <w:szCs w:val="24"/>
        </w:rPr>
        <w:t>Sadler et al. (2014) and Suana (2018) by examining the role self-efficacy plays in predicting enrollment decisions made by high school women in advanced physics courses.</w:t>
      </w:r>
    </w:p>
    <w:p w14:paraId="4A280D1C" w14:textId="34E24946" w:rsidR="00E01FDC" w:rsidRDefault="00E01FDC"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Future </w:t>
      </w:r>
      <w:r w:rsidR="00B537EC">
        <w:rPr>
          <w:rFonts w:ascii="Times New Roman" w:hAnsi="Times New Roman" w:cs="Times New Roman"/>
          <w:sz w:val="24"/>
          <w:szCs w:val="24"/>
        </w:rPr>
        <w:t>r</w:t>
      </w:r>
      <w:r>
        <w:rPr>
          <w:rFonts w:ascii="Times New Roman" w:hAnsi="Times New Roman" w:cs="Times New Roman"/>
          <w:sz w:val="24"/>
          <w:szCs w:val="24"/>
        </w:rPr>
        <w:t xml:space="preserve">esearch should continue to target the relationship of self-efficacy and high school enrollment, particularly in physics, as the existing body of research is scarce. Additional studies </w:t>
      </w:r>
      <w:r w:rsidR="00CE1B39">
        <w:rPr>
          <w:rFonts w:ascii="Times New Roman" w:hAnsi="Times New Roman" w:cs="Times New Roman"/>
          <w:sz w:val="24"/>
          <w:szCs w:val="24"/>
        </w:rPr>
        <w:t xml:space="preserve">could </w:t>
      </w:r>
      <w:r>
        <w:rPr>
          <w:rFonts w:ascii="Times New Roman" w:hAnsi="Times New Roman" w:cs="Times New Roman"/>
          <w:sz w:val="24"/>
          <w:szCs w:val="24"/>
        </w:rPr>
        <w:t xml:space="preserve">incorporate more </w:t>
      </w:r>
      <w:r w:rsidR="00CE1B39">
        <w:rPr>
          <w:rFonts w:ascii="Times New Roman" w:hAnsi="Times New Roman" w:cs="Times New Roman"/>
          <w:sz w:val="24"/>
          <w:szCs w:val="24"/>
        </w:rPr>
        <w:t>explanatory factors</w:t>
      </w:r>
      <w:r>
        <w:rPr>
          <w:rFonts w:ascii="Times New Roman" w:hAnsi="Times New Roman" w:cs="Times New Roman"/>
          <w:sz w:val="24"/>
          <w:szCs w:val="24"/>
        </w:rPr>
        <w:t xml:space="preserve"> coupled with a greater sample size </w:t>
      </w:r>
      <w:r w:rsidR="00D91A46">
        <w:rPr>
          <w:rFonts w:ascii="Times New Roman" w:hAnsi="Times New Roman" w:cs="Times New Roman"/>
          <w:sz w:val="24"/>
          <w:szCs w:val="24"/>
        </w:rPr>
        <w:t>to</w:t>
      </w:r>
      <w:r>
        <w:rPr>
          <w:rFonts w:ascii="Times New Roman" w:hAnsi="Times New Roman" w:cs="Times New Roman"/>
          <w:sz w:val="24"/>
          <w:szCs w:val="24"/>
        </w:rPr>
        <w:t xml:space="preserve"> </w:t>
      </w:r>
      <w:r w:rsidR="00CE1B39">
        <w:rPr>
          <w:rFonts w:ascii="Times New Roman" w:hAnsi="Times New Roman" w:cs="Times New Roman"/>
          <w:sz w:val="24"/>
          <w:szCs w:val="24"/>
        </w:rPr>
        <w:t>extend the findings of the current study</w:t>
      </w:r>
      <w:r>
        <w:rPr>
          <w:rFonts w:ascii="Times New Roman" w:hAnsi="Times New Roman" w:cs="Times New Roman"/>
          <w:sz w:val="24"/>
          <w:szCs w:val="24"/>
        </w:rPr>
        <w:t xml:space="preserve">. Practitioners could benefit by future research that examines pedagogical practices in the high school physics classroom and how those practices impact mastery experiences. </w:t>
      </w:r>
      <w:r w:rsidR="00CE1B39">
        <w:rPr>
          <w:rFonts w:ascii="Times New Roman" w:hAnsi="Times New Roman" w:cs="Times New Roman"/>
          <w:sz w:val="24"/>
          <w:szCs w:val="24"/>
        </w:rPr>
        <w:t>Such research, one could argue,</w:t>
      </w:r>
      <w:r>
        <w:rPr>
          <w:rFonts w:ascii="Times New Roman" w:hAnsi="Times New Roman" w:cs="Times New Roman"/>
          <w:sz w:val="24"/>
          <w:szCs w:val="24"/>
        </w:rPr>
        <w:t xml:space="preserve"> would not just benefit women, but all students who have the potential to pursue a science and engineering career.</w:t>
      </w:r>
      <w:r w:rsidR="00B537EC">
        <w:rPr>
          <w:rFonts w:ascii="Times New Roman" w:hAnsi="Times New Roman" w:cs="Times New Roman"/>
          <w:sz w:val="24"/>
          <w:szCs w:val="24"/>
        </w:rPr>
        <w:t xml:space="preserve"> </w:t>
      </w:r>
    </w:p>
    <w:p w14:paraId="7CFAB48A" w14:textId="1F43C9E6" w:rsidR="00E01FDC" w:rsidRDefault="00E01FDC" w:rsidP="00BA4A2D">
      <w:pPr>
        <w:widowControl w:val="0"/>
        <w:spacing w:after="0" w:line="480" w:lineRule="auto"/>
        <w:rPr>
          <w:rFonts w:ascii="Times New Roman" w:hAnsi="Times New Roman" w:cs="Times New Roman"/>
          <w:sz w:val="24"/>
          <w:szCs w:val="24"/>
        </w:rPr>
      </w:pPr>
    </w:p>
    <w:p w14:paraId="38ECFC15" w14:textId="77777777" w:rsidR="00E01FDC" w:rsidRPr="00FB6B93" w:rsidRDefault="00E01FDC" w:rsidP="00BA4A2D">
      <w:pPr>
        <w:widowControl w:val="0"/>
        <w:spacing w:after="0" w:line="480" w:lineRule="auto"/>
        <w:rPr>
          <w:rFonts w:ascii="Times New Roman" w:hAnsi="Times New Roman" w:cs="Times New Roman"/>
          <w:sz w:val="24"/>
          <w:szCs w:val="24"/>
        </w:rPr>
      </w:pPr>
    </w:p>
    <w:p w14:paraId="7634571E" w14:textId="5865215B" w:rsidR="00FB41AA" w:rsidRDefault="007028C3" w:rsidP="00BA4A2D">
      <w:pPr>
        <w:pStyle w:val="Heading1"/>
        <w:jc w:val="center"/>
      </w:pPr>
      <w:r>
        <w:br w:type="page"/>
      </w:r>
      <w:bookmarkStart w:id="67" w:name="_Toc117501939"/>
      <w:r w:rsidR="00FB41AA" w:rsidRPr="00610033">
        <w:lastRenderedPageBreak/>
        <w:t>References</w:t>
      </w:r>
      <w:bookmarkEnd w:id="67"/>
    </w:p>
    <w:p w14:paraId="35163855" w14:textId="77777777" w:rsidR="00CA3D49" w:rsidRDefault="00CA3D49"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Abele, A. E., &amp; Wojciszke, B. (2007). Agency and communion from the perspective of self </w:t>
      </w:r>
    </w:p>
    <w:p w14:paraId="307BEEA5" w14:textId="25CBF279" w:rsidR="00CA3D49" w:rsidRPr="002C03FA" w:rsidRDefault="00CA3D49"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ve</w:t>
      </w:r>
      <w:r w:rsidR="000E04B2">
        <w:rPr>
          <w:rFonts w:ascii="Times New Roman" w:hAnsi="Times New Roman" w:cs="Times New Roman"/>
          <w:sz w:val="24"/>
          <w:szCs w:val="24"/>
        </w:rPr>
        <w:t>r</w:t>
      </w:r>
      <w:r>
        <w:rPr>
          <w:rFonts w:ascii="Times New Roman" w:hAnsi="Times New Roman" w:cs="Times New Roman"/>
          <w:sz w:val="24"/>
          <w:szCs w:val="24"/>
        </w:rPr>
        <w:t xml:space="preserve">sus others. </w:t>
      </w:r>
      <w:r>
        <w:rPr>
          <w:rFonts w:ascii="Times New Roman" w:hAnsi="Times New Roman" w:cs="Times New Roman"/>
          <w:i/>
          <w:sz w:val="24"/>
          <w:szCs w:val="24"/>
        </w:rPr>
        <w:t>Journal of Personality and Social Psychology</w:t>
      </w:r>
      <w:r w:rsidR="00D91A46">
        <w:rPr>
          <w:rFonts w:ascii="Times New Roman" w:hAnsi="Times New Roman" w:cs="Times New Roman"/>
          <w:i/>
          <w:sz w:val="24"/>
          <w:szCs w:val="24"/>
        </w:rPr>
        <w:t>,</w:t>
      </w:r>
      <w:r>
        <w:rPr>
          <w:rFonts w:ascii="Times New Roman" w:hAnsi="Times New Roman" w:cs="Times New Roman"/>
          <w:i/>
          <w:sz w:val="24"/>
          <w:szCs w:val="24"/>
        </w:rPr>
        <w:t xml:space="preserve"> </w:t>
      </w:r>
      <w:r w:rsidRPr="00BA4A2D">
        <w:rPr>
          <w:rFonts w:ascii="Times New Roman" w:hAnsi="Times New Roman" w:cs="Times New Roman"/>
          <w:i/>
          <w:iCs/>
          <w:sz w:val="24"/>
          <w:szCs w:val="24"/>
        </w:rPr>
        <w:t>93</w:t>
      </w:r>
      <w:r>
        <w:rPr>
          <w:rFonts w:ascii="Times New Roman" w:hAnsi="Times New Roman" w:cs="Times New Roman"/>
          <w:sz w:val="24"/>
          <w:szCs w:val="24"/>
        </w:rPr>
        <w:t>(5), 751-763.</w:t>
      </w:r>
    </w:p>
    <w:p w14:paraId="6194177D" w14:textId="30C6C78C" w:rsidR="00FB41AA" w:rsidRPr="00610033" w:rsidRDefault="00FB41AA" w:rsidP="00BA4A2D">
      <w:pPr>
        <w:widowControl w:val="0"/>
        <w:spacing w:after="0" w:line="480" w:lineRule="auto"/>
        <w:rPr>
          <w:rFonts w:ascii="Times New Roman" w:hAnsi="Times New Roman" w:cs="Times New Roman"/>
          <w:sz w:val="24"/>
          <w:szCs w:val="24"/>
        </w:rPr>
      </w:pPr>
      <w:r w:rsidRPr="00610033">
        <w:rPr>
          <w:rFonts w:ascii="Times New Roman" w:hAnsi="Times New Roman" w:cs="Times New Roman"/>
          <w:sz w:val="24"/>
          <w:szCs w:val="24"/>
        </w:rPr>
        <w:t>American Association of University Women</w:t>
      </w:r>
      <w:r w:rsidR="00DA3F01">
        <w:rPr>
          <w:rFonts w:ascii="Times New Roman" w:hAnsi="Times New Roman" w:cs="Times New Roman"/>
          <w:sz w:val="24"/>
          <w:szCs w:val="24"/>
        </w:rPr>
        <w:t>.</w:t>
      </w:r>
      <w:r w:rsidRPr="00610033">
        <w:rPr>
          <w:rFonts w:ascii="Times New Roman" w:hAnsi="Times New Roman" w:cs="Times New Roman"/>
          <w:sz w:val="24"/>
          <w:szCs w:val="24"/>
        </w:rPr>
        <w:t xml:space="preserve"> (2010). </w:t>
      </w:r>
      <w:r w:rsidRPr="00610033">
        <w:rPr>
          <w:rFonts w:ascii="Times New Roman" w:hAnsi="Times New Roman" w:cs="Times New Roman"/>
          <w:i/>
          <w:sz w:val="24"/>
          <w:szCs w:val="24"/>
        </w:rPr>
        <w:t>Why so few?</w:t>
      </w:r>
      <w:r w:rsidRPr="00610033">
        <w:rPr>
          <w:rFonts w:ascii="Times New Roman" w:hAnsi="Times New Roman" w:cs="Times New Roman"/>
          <w:sz w:val="24"/>
          <w:szCs w:val="24"/>
        </w:rPr>
        <w:t xml:space="preserve"> </w:t>
      </w:r>
    </w:p>
    <w:p w14:paraId="0956084E" w14:textId="77777777" w:rsidR="00FB41AA" w:rsidRPr="00610033" w:rsidRDefault="00FB41AA" w:rsidP="00BA4A2D">
      <w:pPr>
        <w:widowControl w:val="0"/>
        <w:spacing w:after="0" w:line="480" w:lineRule="auto"/>
        <w:rPr>
          <w:rFonts w:ascii="Times New Roman" w:hAnsi="Times New Roman" w:cs="Times New Roman"/>
          <w:sz w:val="24"/>
          <w:szCs w:val="24"/>
        </w:rPr>
      </w:pPr>
      <w:r w:rsidRPr="00610033">
        <w:rPr>
          <w:rFonts w:ascii="Times New Roman" w:hAnsi="Times New Roman" w:cs="Times New Roman"/>
          <w:sz w:val="24"/>
          <w:szCs w:val="24"/>
        </w:rPr>
        <w:tab/>
        <w:t>https://www.aauw.org/files/2013/02/Why-So-Few-Women-in-Science-</w:t>
      </w:r>
    </w:p>
    <w:p w14:paraId="44894F69" w14:textId="77777777" w:rsidR="00FB41AA" w:rsidRPr="00610033" w:rsidRDefault="00FB41AA" w:rsidP="00BA4A2D">
      <w:pPr>
        <w:widowControl w:val="0"/>
        <w:spacing w:after="0" w:line="480" w:lineRule="auto"/>
        <w:rPr>
          <w:rFonts w:ascii="Times New Roman" w:hAnsi="Times New Roman" w:cs="Times New Roman"/>
          <w:sz w:val="24"/>
          <w:szCs w:val="24"/>
        </w:rPr>
      </w:pPr>
      <w:r w:rsidRPr="00610033">
        <w:rPr>
          <w:rFonts w:ascii="Times New Roman" w:hAnsi="Times New Roman" w:cs="Times New Roman"/>
          <w:sz w:val="24"/>
          <w:szCs w:val="24"/>
        </w:rPr>
        <w:tab/>
        <w:t>Technology-Engineering-and-Mathematics.pdf</w:t>
      </w:r>
    </w:p>
    <w:p w14:paraId="1A23C927" w14:textId="1BBF0151" w:rsidR="006000F2" w:rsidRDefault="00FB41AA" w:rsidP="000943B8">
      <w:pPr>
        <w:widowControl w:val="0"/>
        <w:spacing w:after="0" w:line="480" w:lineRule="auto"/>
        <w:rPr>
          <w:rFonts w:ascii="Times New Roman" w:hAnsi="Times New Roman" w:cs="Times New Roman"/>
          <w:sz w:val="24"/>
          <w:szCs w:val="24"/>
        </w:rPr>
      </w:pPr>
      <w:r w:rsidRPr="00610033">
        <w:rPr>
          <w:rFonts w:ascii="Times New Roman" w:hAnsi="Times New Roman" w:cs="Times New Roman"/>
          <w:sz w:val="24"/>
          <w:szCs w:val="24"/>
        </w:rPr>
        <w:t xml:space="preserve">Bandura, A. (1977). Self-efficacy: Toward a </w:t>
      </w:r>
      <w:r w:rsidR="00241696">
        <w:rPr>
          <w:rFonts w:ascii="Times New Roman" w:hAnsi="Times New Roman" w:cs="Times New Roman"/>
          <w:sz w:val="24"/>
          <w:szCs w:val="24"/>
        </w:rPr>
        <w:t>u</w:t>
      </w:r>
      <w:r w:rsidRPr="00610033">
        <w:rPr>
          <w:rFonts w:ascii="Times New Roman" w:hAnsi="Times New Roman" w:cs="Times New Roman"/>
          <w:sz w:val="24"/>
          <w:szCs w:val="24"/>
        </w:rPr>
        <w:t xml:space="preserve">nifying </w:t>
      </w:r>
      <w:r w:rsidR="00241696">
        <w:rPr>
          <w:rFonts w:ascii="Times New Roman" w:hAnsi="Times New Roman" w:cs="Times New Roman"/>
          <w:sz w:val="24"/>
          <w:szCs w:val="24"/>
        </w:rPr>
        <w:t>t</w:t>
      </w:r>
      <w:r w:rsidRPr="00610033">
        <w:rPr>
          <w:rFonts w:ascii="Times New Roman" w:hAnsi="Times New Roman" w:cs="Times New Roman"/>
          <w:sz w:val="24"/>
          <w:szCs w:val="24"/>
        </w:rPr>
        <w:t xml:space="preserve">heory of </w:t>
      </w:r>
      <w:r w:rsidR="00241696">
        <w:rPr>
          <w:rFonts w:ascii="Times New Roman" w:hAnsi="Times New Roman" w:cs="Times New Roman"/>
          <w:sz w:val="24"/>
          <w:szCs w:val="24"/>
        </w:rPr>
        <w:t>b</w:t>
      </w:r>
      <w:r w:rsidRPr="00610033">
        <w:rPr>
          <w:rFonts w:ascii="Times New Roman" w:hAnsi="Times New Roman" w:cs="Times New Roman"/>
          <w:sz w:val="24"/>
          <w:szCs w:val="24"/>
        </w:rPr>
        <w:t xml:space="preserve">ehavioral </w:t>
      </w:r>
      <w:r w:rsidR="00241696">
        <w:rPr>
          <w:rFonts w:ascii="Times New Roman" w:hAnsi="Times New Roman" w:cs="Times New Roman"/>
          <w:sz w:val="24"/>
          <w:szCs w:val="24"/>
        </w:rPr>
        <w:t>c</w:t>
      </w:r>
      <w:r w:rsidRPr="00610033">
        <w:rPr>
          <w:rFonts w:ascii="Times New Roman" w:hAnsi="Times New Roman" w:cs="Times New Roman"/>
          <w:sz w:val="24"/>
          <w:szCs w:val="24"/>
        </w:rPr>
        <w:t xml:space="preserve">hange. </w:t>
      </w:r>
    </w:p>
    <w:p w14:paraId="4FFD7DF0" w14:textId="2F99ABFD" w:rsidR="00FB41AA" w:rsidRPr="00610033" w:rsidRDefault="006000F2"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00FB41AA" w:rsidRPr="00610033">
        <w:rPr>
          <w:rFonts w:ascii="Times New Roman" w:hAnsi="Times New Roman" w:cs="Times New Roman"/>
          <w:i/>
          <w:sz w:val="24"/>
          <w:szCs w:val="24"/>
        </w:rPr>
        <w:t>Psychological Review, 84</w:t>
      </w:r>
      <w:r w:rsidR="00FB41AA" w:rsidRPr="00610033">
        <w:rPr>
          <w:rFonts w:ascii="Times New Roman" w:hAnsi="Times New Roman" w:cs="Times New Roman"/>
          <w:sz w:val="24"/>
          <w:szCs w:val="24"/>
        </w:rPr>
        <w:t>, 191</w:t>
      </w:r>
      <w:r w:rsidR="00D91A46">
        <w:rPr>
          <w:rFonts w:ascii="Times New Roman" w:hAnsi="Times New Roman" w:cs="Times New Roman"/>
          <w:sz w:val="24"/>
          <w:szCs w:val="24"/>
        </w:rPr>
        <w:t>-</w:t>
      </w:r>
      <w:r w:rsidR="00FB41AA" w:rsidRPr="00610033">
        <w:rPr>
          <w:rFonts w:ascii="Times New Roman" w:hAnsi="Times New Roman" w:cs="Times New Roman"/>
          <w:sz w:val="24"/>
          <w:szCs w:val="24"/>
        </w:rPr>
        <w:t>215.</w:t>
      </w:r>
    </w:p>
    <w:p w14:paraId="72144538" w14:textId="78879B8B" w:rsidR="00FB41AA" w:rsidRPr="00610033" w:rsidRDefault="00FB41AA" w:rsidP="00BA4A2D">
      <w:pPr>
        <w:widowControl w:val="0"/>
        <w:spacing w:after="0" w:line="480" w:lineRule="auto"/>
        <w:rPr>
          <w:rFonts w:ascii="Times New Roman" w:hAnsi="Times New Roman" w:cs="Times New Roman"/>
          <w:sz w:val="24"/>
          <w:szCs w:val="24"/>
        </w:rPr>
      </w:pPr>
      <w:r w:rsidRPr="00610033">
        <w:rPr>
          <w:rFonts w:ascii="Times New Roman" w:hAnsi="Times New Roman" w:cs="Times New Roman"/>
          <w:sz w:val="24"/>
          <w:szCs w:val="24"/>
        </w:rPr>
        <w:t xml:space="preserve">Bandura, A. (1990). Some reflections on reflections. </w:t>
      </w:r>
      <w:r w:rsidRPr="00610033">
        <w:rPr>
          <w:rFonts w:ascii="Times New Roman" w:hAnsi="Times New Roman" w:cs="Times New Roman"/>
          <w:i/>
          <w:sz w:val="24"/>
          <w:szCs w:val="24"/>
        </w:rPr>
        <w:t>Psychological Inquiry, 1</w:t>
      </w:r>
      <w:r w:rsidRPr="00610033">
        <w:rPr>
          <w:rFonts w:ascii="Times New Roman" w:hAnsi="Times New Roman" w:cs="Times New Roman"/>
          <w:sz w:val="24"/>
          <w:szCs w:val="24"/>
        </w:rPr>
        <w:t>(1), 101-105.</w:t>
      </w:r>
    </w:p>
    <w:p w14:paraId="0EB07014" w14:textId="77777777" w:rsidR="00FB41AA" w:rsidRDefault="00FB41AA"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Bandura, A. (1998). Personal and collective efficacy in hum adaption and change. In A. D. </w:t>
      </w:r>
    </w:p>
    <w:p w14:paraId="21C87720" w14:textId="05671431" w:rsidR="00FB41AA" w:rsidRPr="002B1B33" w:rsidRDefault="00FB41AA" w:rsidP="00BA4A2D">
      <w:pPr>
        <w:widowControl w:val="0"/>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Belanger &amp; K. L. Dion (Eds.) </w:t>
      </w:r>
      <w:r>
        <w:rPr>
          <w:rFonts w:ascii="Times New Roman" w:hAnsi="Times New Roman" w:cs="Times New Roman"/>
          <w:i/>
          <w:sz w:val="24"/>
          <w:szCs w:val="24"/>
        </w:rPr>
        <w:t xml:space="preserve">Advances in psychological sciences: Vol 1, Personal, social and cultural aspects </w:t>
      </w:r>
      <w:r w:rsidRPr="00BA4A2D">
        <w:rPr>
          <w:rFonts w:ascii="Times New Roman" w:hAnsi="Times New Roman" w:cs="Times New Roman"/>
          <w:iCs/>
          <w:sz w:val="24"/>
          <w:szCs w:val="24"/>
        </w:rPr>
        <w:t>(pp. 51-71).</w:t>
      </w:r>
      <w:r>
        <w:rPr>
          <w:rFonts w:ascii="Times New Roman" w:hAnsi="Times New Roman" w:cs="Times New Roman"/>
          <w:i/>
          <w:sz w:val="24"/>
          <w:szCs w:val="24"/>
        </w:rPr>
        <w:t xml:space="preserve"> </w:t>
      </w:r>
      <w:r>
        <w:rPr>
          <w:rFonts w:ascii="Times New Roman" w:hAnsi="Times New Roman" w:cs="Times New Roman"/>
          <w:sz w:val="24"/>
          <w:szCs w:val="24"/>
        </w:rPr>
        <w:t>Psychology Press.</w:t>
      </w:r>
    </w:p>
    <w:p w14:paraId="228EC185" w14:textId="77777777" w:rsidR="00FB41AA" w:rsidRPr="00610033" w:rsidRDefault="00FB41AA" w:rsidP="00BA4A2D">
      <w:pPr>
        <w:widowControl w:val="0"/>
        <w:spacing w:after="0" w:line="480" w:lineRule="auto"/>
        <w:rPr>
          <w:rFonts w:ascii="Times New Roman" w:hAnsi="Times New Roman" w:cs="Times New Roman"/>
          <w:sz w:val="24"/>
          <w:szCs w:val="24"/>
        </w:rPr>
      </w:pPr>
      <w:r w:rsidRPr="00610033">
        <w:rPr>
          <w:rFonts w:ascii="Times New Roman" w:hAnsi="Times New Roman" w:cs="Times New Roman"/>
          <w:sz w:val="24"/>
          <w:szCs w:val="24"/>
        </w:rPr>
        <w:t xml:space="preserve">Baran, M. (2016). An analysis on high school students’ perceptions of physics courses in </w:t>
      </w:r>
    </w:p>
    <w:p w14:paraId="59A2DC50" w14:textId="77777777" w:rsidR="00FB41AA" w:rsidRPr="00610033" w:rsidRDefault="00FB41AA" w:rsidP="00BA4A2D">
      <w:pPr>
        <w:widowControl w:val="0"/>
        <w:spacing w:after="0" w:line="480" w:lineRule="auto"/>
        <w:ind w:left="720"/>
        <w:rPr>
          <w:rFonts w:ascii="Times New Roman" w:hAnsi="Times New Roman" w:cs="Times New Roman"/>
          <w:sz w:val="24"/>
          <w:szCs w:val="24"/>
        </w:rPr>
      </w:pPr>
      <w:r w:rsidRPr="00610033">
        <w:rPr>
          <w:rFonts w:ascii="Times New Roman" w:hAnsi="Times New Roman" w:cs="Times New Roman"/>
          <w:sz w:val="24"/>
          <w:szCs w:val="24"/>
        </w:rPr>
        <w:t xml:space="preserve">terms of gender (a sample from Turkey). </w:t>
      </w:r>
      <w:r w:rsidRPr="00610033">
        <w:rPr>
          <w:rFonts w:ascii="Times New Roman" w:hAnsi="Times New Roman" w:cs="Times New Roman"/>
          <w:i/>
          <w:sz w:val="24"/>
          <w:szCs w:val="24"/>
        </w:rPr>
        <w:t>Journal of Education and Training Studies, 4</w:t>
      </w:r>
      <w:r w:rsidRPr="00610033">
        <w:rPr>
          <w:rFonts w:ascii="Times New Roman" w:hAnsi="Times New Roman" w:cs="Times New Roman"/>
          <w:sz w:val="24"/>
          <w:szCs w:val="24"/>
        </w:rPr>
        <w:t>(3), 150-160.</w:t>
      </w:r>
    </w:p>
    <w:p w14:paraId="57EAD076" w14:textId="77777777" w:rsidR="00FB41AA" w:rsidRDefault="00FB41AA"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Bembenutty, H. (2007). An interview with Frank Pajares: God, the devil, William James, the </w:t>
      </w:r>
    </w:p>
    <w:p w14:paraId="664C322E" w14:textId="77777777" w:rsidR="00FB41AA" w:rsidRPr="00D25D87" w:rsidRDefault="00FB41AA"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Little Prince, and self-efficacy. </w:t>
      </w:r>
      <w:r>
        <w:rPr>
          <w:rFonts w:ascii="Times New Roman" w:hAnsi="Times New Roman" w:cs="Times New Roman"/>
          <w:i/>
          <w:sz w:val="24"/>
          <w:szCs w:val="24"/>
        </w:rPr>
        <w:t>Journal of Advanced Academics, 18</w:t>
      </w:r>
      <w:r>
        <w:rPr>
          <w:rFonts w:ascii="Times New Roman" w:hAnsi="Times New Roman" w:cs="Times New Roman"/>
          <w:sz w:val="24"/>
          <w:szCs w:val="24"/>
        </w:rPr>
        <w:t>(4), 660-677.</w:t>
      </w:r>
    </w:p>
    <w:p w14:paraId="142DFD75" w14:textId="5E7E5678" w:rsidR="00FB41AA" w:rsidRPr="00610033" w:rsidRDefault="00FB41AA" w:rsidP="00BA4A2D">
      <w:pPr>
        <w:widowControl w:val="0"/>
        <w:spacing w:after="0" w:line="480" w:lineRule="auto"/>
        <w:rPr>
          <w:rFonts w:ascii="Times New Roman" w:hAnsi="Times New Roman" w:cs="Times New Roman"/>
          <w:sz w:val="24"/>
          <w:szCs w:val="24"/>
        </w:rPr>
      </w:pPr>
      <w:r w:rsidRPr="00610033">
        <w:rPr>
          <w:rFonts w:ascii="Times New Roman" w:hAnsi="Times New Roman" w:cs="Times New Roman"/>
          <w:sz w:val="24"/>
          <w:szCs w:val="24"/>
        </w:rPr>
        <w:t>Bittner, A</w:t>
      </w:r>
      <w:r w:rsidR="00D91A46">
        <w:rPr>
          <w:rFonts w:ascii="Times New Roman" w:hAnsi="Times New Roman" w:cs="Times New Roman"/>
          <w:sz w:val="24"/>
          <w:szCs w:val="24"/>
        </w:rPr>
        <w:t>., &amp;</w:t>
      </w:r>
      <w:r w:rsidRPr="00610033">
        <w:rPr>
          <w:rFonts w:ascii="Times New Roman" w:hAnsi="Times New Roman" w:cs="Times New Roman"/>
          <w:sz w:val="24"/>
          <w:szCs w:val="24"/>
        </w:rPr>
        <w:t xml:space="preserve"> Goodyear-Grant, E. (2017). Sex isn’t gender: Reforming concepts and </w:t>
      </w:r>
    </w:p>
    <w:p w14:paraId="436136D0" w14:textId="2FC81C0D" w:rsidR="00FB41AA" w:rsidRPr="00610033" w:rsidRDefault="00FB41AA" w:rsidP="00BA4A2D">
      <w:pPr>
        <w:widowControl w:val="0"/>
        <w:spacing w:after="0" w:line="480" w:lineRule="auto"/>
        <w:rPr>
          <w:rFonts w:ascii="Times New Roman" w:hAnsi="Times New Roman" w:cs="Times New Roman"/>
          <w:sz w:val="24"/>
          <w:szCs w:val="24"/>
        </w:rPr>
      </w:pPr>
      <w:r w:rsidRPr="00610033">
        <w:rPr>
          <w:rFonts w:ascii="Times New Roman" w:hAnsi="Times New Roman" w:cs="Times New Roman"/>
          <w:sz w:val="24"/>
          <w:szCs w:val="24"/>
        </w:rPr>
        <w:tab/>
        <w:t xml:space="preserve">measurements in the study of public opinion. </w:t>
      </w:r>
      <w:r w:rsidRPr="00610033">
        <w:rPr>
          <w:rFonts w:ascii="Times New Roman" w:hAnsi="Times New Roman" w:cs="Times New Roman"/>
          <w:i/>
          <w:sz w:val="24"/>
          <w:szCs w:val="24"/>
        </w:rPr>
        <w:t>Political Behavior</w:t>
      </w:r>
      <w:r w:rsidR="00D91A46">
        <w:rPr>
          <w:rFonts w:ascii="Times New Roman" w:hAnsi="Times New Roman" w:cs="Times New Roman"/>
          <w:i/>
          <w:sz w:val="24"/>
          <w:szCs w:val="24"/>
        </w:rPr>
        <w:t>,</w:t>
      </w:r>
      <w:r w:rsidRPr="00610033">
        <w:rPr>
          <w:rFonts w:ascii="Times New Roman" w:hAnsi="Times New Roman" w:cs="Times New Roman"/>
          <w:i/>
          <w:sz w:val="24"/>
          <w:szCs w:val="24"/>
        </w:rPr>
        <w:t xml:space="preserve"> 39, </w:t>
      </w:r>
      <w:r w:rsidRPr="00610033">
        <w:rPr>
          <w:rFonts w:ascii="Times New Roman" w:hAnsi="Times New Roman" w:cs="Times New Roman"/>
          <w:sz w:val="24"/>
          <w:szCs w:val="24"/>
        </w:rPr>
        <w:t>1019-1041.</w:t>
      </w:r>
    </w:p>
    <w:p w14:paraId="634B1B16" w14:textId="2AE8EC20" w:rsidR="00122958" w:rsidRDefault="00122958"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Britner, S. L</w:t>
      </w:r>
      <w:r w:rsidR="00D91A46">
        <w:rPr>
          <w:rFonts w:ascii="Times New Roman" w:hAnsi="Times New Roman" w:cs="Times New Roman"/>
          <w:sz w:val="24"/>
          <w:szCs w:val="24"/>
        </w:rPr>
        <w:t>., &amp;</w:t>
      </w:r>
      <w:r>
        <w:rPr>
          <w:rFonts w:ascii="Times New Roman" w:hAnsi="Times New Roman" w:cs="Times New Roman"/>
          <w:sz w:val="24"/>
          <w:szCs w:val="24"/>
        </w:rPr>
        <w:t xml:space="preserve"> Pajares, F. (2006). Sources of self-efficacy beliefs of middle school students. </w:t>
      </w:r>
    </w:p>
    <w:p w14:paraId="5A189F97" w14:textId="571C7999" w:rsidR="00122958" w:rsidRPr="00122958" w:rsidRDefault="00122958"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Journal of Research in Science Teaching, 43</w:t>
      </w:r>
      <w:r>
        <w:rPr>
          <w:rFonts w:ascii="Times New Roman" w:hAnsi="Times New Roman" w:cs="Times New Roman"/>
          <w:sz w:val="24"/>
          <w:szCs w:val="24"/>
        </w:rPr>
        <w:t>(5), 485-499.</w:t>
      </w:r>
    </w:p>
    <w:p w14:paraId="41708A8F" w14:textId="29D7E27D" w:rsidR="00DD228C" w:rsidRDefault="00DD228C" w:rsidP="00BA4A2D">
      <w:pPr>
        <w:widowControl w:val="0"/>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Cabell, A. L. (2020). Career search self-efficacy and STEM major persistence. </w:t>
      </w:r>
      <w:r>
        <w:rPr>
          <w:rFonts w:ascii="Times New Roman" w:hAnsi="Times New Roman" w:cs="Times New Roman"/>
          <w:i/>
          <w:sz w:val="24"/>
          <w:szCs w:val="24"/>
        </w:rPr>
        <w:t xml:space="preserve">The Career </w:t>
      </w:r>
    </w:p>
    <w:p w14:paraId="236C085B" w14:textId="12888DD2" w:rsidR="00DD228C" w:rsidRPr="00DD228C" w:rsidRDefault="00DD228C" w:rsidP="00BA4A2D">
      <w:pPr>
        <w:widowControl w:val="0"/>
        <w:spacing w:after="0" w:line="480" w:lineRule="auto"/>
        <w:rPr>
          <w:rFonts w:ascii="Times New Roman" w:hAnsi="Times New Roman" w:cs="Times New Roman"/>
          <w:sz w:val="24"/>
          <w:szCs w:val="24"/>
        </w:rPr>
      </w:pPr>
      <w:r>
        <w:rPr>
          <w:rFonts w:ascii="Times New Roman" w:hAnsi="Times New Roman" w:cs="Times New Roman"/>
          <w:i/>
          <w:sz w:val="24"/>
          <w:szCs w:val="24"/>
        </w:rPr>
        <w:tab/>
        <w:t xml:space="preserve">Development Quarterly, 69, </w:t>
      </w:r>
      <w:r>
        <w:rPr>
          <w:rFonts w:ascii="Times New Roman" w:hAnsi="Times New Roman" w:cs="Times New Roman"/>
          <w:sz w:val="24"/>
          <w:szCs w:val="24"/>
        </w:rPr>
        <w:t>158-164.</w:t>
      </w:r>
    </w:p>
    <w:p w14:paraId="4D651FB3" w14:textId="081B8939" w:rsidR="00EE2906" w:rsidRDefault="00EE2906"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Cahill, K. (2020). Top-of-the-world Chinese supercomputer supplier Lenova sweeps all markets. </w:t>
      </w:r>
    </w:p>
    <w:p w14:paraId="1CFB3494" w14:textId="55C096B5" w:rsidR="00EE2906" w:rsidRPr="00EE2906" w:rsidRDefault="00EE2906"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Computer Weekly, </w:t>
      </w:r>
      <w:r>
        <w:rPr>
          <w:rFonts w:ascii="Times New Roman" w:hAnsi="Times New Roman" w:cs="Times New Roman"/>
          <w:sz w:val="24"/>
          <w:szCs w:val="24"/>
        </w:rPr>
        <w:t>4-6.</w:t>
      </w:r>
    </w:p>
    <w:p w14:paraId="0250D54B" w14:textId="77777777" w:rsidR="00624B7D" w:rsidRDefault="00624B7D"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Chang, H., Kohler, J. N., Ard, J. E., &amp; Mathis, C. (2018). Examining reasons behind high school </w:t>
      </w:r>
    </w:p>
    <w:p w14:paraId="0C0EB756" w14:textId="77777777" w:rsidR="00624B7D" w:rsidRDefault="00624B7D" w:rsidP="00BA4A2D">
      <w:pPr>
        <w:widowControl w:val="0"/>
        <w:spacing w:after="0" w:line="480" w:lineRule="auto"/>
        <w:rPr>
          <w:rFonts w:ascii="Times New Roman" w:hAnsi="Times New Roman" w:cs="Times New Roman"/>
          <w:i/>
          <w:sz w:val="24"/>
          <w:szCs w:val="24"/>
        </w:rPr>
      </w:pPr>
      <w:r>
        <w:rPr>
          <w:rFonts w:ascii="Times New Roman" w:hAnsi="Times New Roman" w:cs="Times New Roman"/>
          <w:sz w:val="24"/>
          <w:szCs w:val="24"/>
        </w:rPr>
        <w:tab/>
        <w:t xml:space="preserve">students’ decisions to enroll in physics courses. </w:t>
      </w:r>
      <w:r>
        <w:rPr>
          <w:rFonts w:ascii="Times New Roman" w:hAnsi="Times New Roman" w:cs="Times New Roman"/>
          <w:i/>
          <w:sz w:val="24"/>
          <w:szCs w:val="24"/>
        </w:rPr>
        <w:t xml:space="preserve">Universal Journal of Educational </w:t>
      </w:r>
    </w:p>
    <w:p w14:paraId="05921BB9" w14:textId="08E2AA0A" w:rsidR="00624B7D" w:rsidRPr="00624B7D" w:rsidRDefault="00624B7D" w:rsidP="00BA4A2D">
      <w:pPr>
        <w:widowControl w:val="0"/>
        <w:spacing w:after="0" w:line="480" w:lineRule="auto"/>
        <w:rPr>
          <w:rFonts w:ascii="Times New Roman" w:hAnsi="Times New Roman" w:cs="Times New Roman"/>
          <w:sz w:val="24"/>
          <w:szCs w:val="24"/>
        </w:rPr>
      </w:pPr>
      <w:r>
        <w:rPr>
          <w:rFonts w:ascii="Times New Roman" w:hAnsi="Times New Roman" w:cs="Times New Roman"/>
          <w:i/>
          <w:sz w:val="24"/>
          <w:szCs w:val="24"/>
        </w:rPr>
        <w:tab/>
        <w:t>Research, 6</w:t>
      </w:r>
      <w:r>
        <w:rPr>
          <w:rFonts w:ascii="Times New Roman" w:hAnsi="Times New Roman" w:cs="Times New Roman"/>
          <w:sz w:val="24"/>
          <w:szCs w:val="24"/>
        </w:rPr>
        <w:t>(11), 2492-2497.</w:t>
      </w:r>
    </w:p>
    <w:p w14:paraId="05389921" w14:textId="4F6F6283" w:rsidR="006000F2" w:rsidRDefault="00FB41AA" w:rsidP="006000F2">
      <w:pPr>
        <w:widowControl w:val="0"/>
        <w:spacing w:after="0" w:line="480" w:lineRule="auto"/>
        <w:rPr>
          <w:rFonts w:ascii="Times New Roman" w:hAnsi="Times New Roman" w:cs="Times New Roman"/>
          <w:sz w:val="24"/>
          <w:szCs w:val="24"/>
        </w:rPr>
      </w:pPr>
      <w:r w:rsidRPr="00610033">
        <w:rPr>
          <w:rFonts w:ascii="Times New Roman" w:hAnsi="Times New Roman" w:cs="Times New Roman"/>
          <w:sz w:val="24"/>
          <w:szCs w:val="24"/>
        </w:rPr>
        <w:t>College Board</w:t>
      </w:r>
      <w:r w:rsidR="00D91A46">
        <w:rPr>
          <w:rFonts w:ascii="Times New Roman" w:hAnsi="Times New Roman" w:cs="Times New Roman"/>
          <w:sz w:val="24"/>
          <w:szCs w:val="24"/>
        </w:rPr>
        <w:t>.</w:t>
      </w:r>
      <w:r w:rsidRPr="00610033">
        <w:rPr>
          <w:rFonts w:ascii="Times New Roman" w:hAnsi="Times New Roman" w:cs="Times New Roman"/>
          <w:sz w:val="24"/>
          <w:szCs w:val="24"/>
        </w:rPr>
        <w:t xml:space="preserve"> (2017). </w:t>
      </w:r>
      <w:r w:rsidRPr="00610033">
        <w:rPr>
          <w:rFonts w:ascii="Times New Roman" w:hAnsi="Times New Roman" w:cs="Times New Roman"/>
          <w:i/>
          <w:sz w:val="24"/>
          <w:szCs w:val="24"/>
        </w:rPr>
        <w:t xml:space="preserve">Summary </w:t>
      </w:r>
      <w:r w:rsidR="00D91A46">
        <w:rPr>
          <w:rFonts w:ascii="Times New Roman" w:hAnsi="Times New Roman" w:cs="Times New Roman"/>
          <w:i/>
          <w:sz w:val="24"/>
          <w:szCs w:val="24"/>
        </w:rPr>
        <w:t>p</w:t>
      </w:r>
      <w:r w:rsidRPr="00610033">
        <w:rPr>
          <w:rFonts w:ascii="Times New Roman" w:hAnsi="Times New Roman" w:cs="Times New Roman"/>
          <w:i/>
          <w:sz w:val="24"/>
          <w:szCs w:val="24"/>
        </w:rPr>
        <w:t xml:space="preserve">rogram </w:t>
      </w:r>
      <w:r w:rsidR="00D91A46">
        <w:rPr>
          <w:rFonts w:ascii="Times New Roman" w:hAnsi="Times New Roman" w:cs="Times New Roman"/>
          <w:i/>
          <w:sz w:val="24"/>
          <w:szCs w:val="24"/>
        </w:rPr>
        <w:t>r</w:t>
      </w:r>
      <w:r w:rsidRPr="00610033">
        <w:rPr>
          <w:rFonts w:ascii="Times New Roman" w:hAnsi="Times New Roman" w:cs="Times New Roman"/>
          <w:i/>
          <w:sz w:val="24"/>
          <w:szCs w:val="24"/>
        </w:rPr>
        <w:t>eport 2017</w:t>
      </w:r>
      <w:r w:rsidR="00736F31">
        <w:rPr>
          <w:rFonts w:ascii="Times New Roman" w:hAnsi="Times New Roman" w:cs="Times New Roman"/>
          <w:sz w:val="24"/>
          <w:szCs w:val="24"/>
        </w:rPr>
        <w:t xml:space="preserve">. </w:t>
      </w:r>
      <w:r w:rsidR="006000F2" w:rsidRPr="00BA4A2D">
        <w:rPr>
          <w:rFonts w:ascii="Times New Roman" w:hAnsi="Times New Roman" w:cs="Times New Roman"/>
          <w:sz w:val="24"/>
          <w:szCs w:val="24"/>
        </w:rPr>
        <w:t>https://secure-media.collegeboard.org/</w:t>
      </w:r>
    </w:p>
    <w:p w14:paraId="792356EC" w14:textId="0E238F2E" w:rsidR="00FB41AA" w:rsidRPr="00610033" w:rsidRDefault="00FB41AA" w:rsidP="00BA4A2D">
      <w:pPr>
        <w:widowControl w:val="0"/>
        <w:spacing w:after="0" w:line="480" w:lineRule="auto"/>
        <w:ind w:firstLine="720"/>
        <w:rPr>
          <w:rFonts w:ascii="Times New Roman" w:hAnsi="Times New Roman" w:cs="Times New Roman"/>
          <w:sz w:val="24"/>
          <w:szCs w:val="24"/>
        </w:rPr>
      </w:pPr>
      <w:r w:rsidRPr="00610033">
        <w:rPr>
          <w:rFonts w:ascii="Times New Roman" w:hAnsi="Times New Roman" w:cs="Times New Roman"/>
          <w:sz w:val="24"/>
          <w:szCs w:val="24"/>
        </w:rPr>
        <w:t xml:space="preserve">digitalServices/pdf/research/2017/Program-Summary-Report-2017.pdf </w:t>
      </w:r>
    </w:p>
    <w:p w14:paraId="37BD7360" w14:textId="67A16CF1" w:rsidR="006000F2" w:rsidRDefault="00FB41AA" w:rsidP="000943B8">
      <w:pPr>
        <w:widowControl w:val="0"/>
        <w:spacing w:after="0" w:line="480" w:lineRule="auto"/>
        <w:rPr>
          <w:rFonts w:ascii="Times New Roman" w:hAnsi="Times New Roman" w:cs="Times New Roman"/>
          <w:sz w:val="24"/>
          <w:szCs w:val="24"/>
        </w:rPr>
      </w:pPr>
      <w:r w:rsidRPr="00754FE0">
        <w:rPr>
          <w:rFonts w:ascii="Times New Roman" w:hAnsi="Times New Roman" w:cs="Times New Roman"/>
          <w:sz w:val="24"/>
          <w:szCs w:val="24"/>
        </w:rPr>
        <w:t>College Board. (20</w:t>
      </w:r>
      <w:r w:rsidR="00A52C0E">
        <w:rPr>
          <w:rFonts w:ascii="Times New Roman" w:hAnsi="Times New Roman" w:cs="Times New Roman"/>
          <w:sz w:val="24"/>
          <w:szCs w:val="24"/>
        </w:rPr>
        <w:t>20</w:t>
      </w:r>
      <w:r w:rsidRPr="00754FE0">
        <w:rPr>
          <w:rFonts w:ascii="Times New Roman" w:hAnsi="Times New Roman" w:cs="Times New Roman"/>
          <w:sz w:val="24"/>
          <w:szCs w:val="24"/>
        </w:rPr>
        <w:t xml:space="preserve">). </w:t>
      </w:r>
      <w:r w:rsidRPr="00BA4A2D">
        <w:rPr>
          <w:rFonts w:ascii="Times New Roman" w:hAnsi="Times New Roman" w:cs="Times New Roman"/>
          <w:i/>
          <w:iCs/>
          <w:sz w:val="24"/>
          <w:szCs w:val="24"/>
        </w:rPr>
        <w:t>About AP: AP at a glance.</w:t>
      </w:r>
      <w:r w:rsidRPr="00754FE0">
        <w:rPr>
          <w:rFonts w:ascii="Times New Roman" w:hAnsi="Times New Roman" w:cs="Times New Roman"/>
          <w:sz w:val="24"/>
          <w:szCs w:val="24"/>
        </w:rPr>
        <w:t xml:space="preserve"> </w:t>
      </w:r>
      <w:r w:rsidR="006000F2" w:rsidRPr="00BA4A2D">
        <w:rPr>
          <w:rFonts w:ascii="Times New Roman" w:hAnsi="Times New Roman" w:cs="Times New Roman"/>
          <w:sz w:val="24"/>
          <w:szCs w:val="24"/>
        </w:rPr>
        <w:t>https://apcentral.collegeboard.org/about-</w:t>
      </w:r>
    </w:p>
    <w:p w14:paraId="06ECB697" w14:textId="3AD92717" w:rsidR="00FB41AA" w:rsidRPr="00754FE0" w:rsidRDefault="00FB41AA" w:rsidP="00BA4A2D">
      <w:pPr>
        <w:widowControl w:val="0"/>
        <w:spacing w:after="0" w:line="480" w:lineRule="auto"/>
        <w:ind w:firstLine="720"/>
        <w:rPr>
          <w:rFonts w:ascii="Times New Roman" w:hAnsi="Times New Roman" w:cs="Times New Roman"/>
          <w:sz w:val="24"/>
          <w:szCs w:val="24"/>
        </w:rPr>
      </w:pPr>
      <w:r w:rsidRPr="00754FE0">
        <w:rPr>
          <w:rFonts w:ascii="Times New Roman" w:hAnsi="Times New Roman" w:cs="Times New Roman"/>
          <w:sz w:val="24"/>
          <w:szCs w:val="24"/>
        </w:rPr>
        <w:t xml:space="preserve">ap/ap-a-glance </w:t>
      </w:r>
    </w:p>
    <w:p w14:paraId="3E8A7E24" w14:textId="2375E445" w:rsidR="00D91A46" w:rsidRDefault="00FB41AA" w:rsidP="00D91A46">
      <w:pPr>
        <w:widowControl w:val="0"/>
        <w:spacing w:after="0" w:line="480" w:lineRule="auto"/>
        <w:rPr>
          <w:rFonts w:ascii="Times New Roman" w:hAnsi="Times New Roman" w:cs="Times New Roman"/>
          <w:i/>
          <w:sz w:val="24"/>
          <w:szCs w:val="24"/>
        </w:rPr>
      </w:pPr>
      <w:r w:rsidRPr="00754FE0">
        <w:rPr>
          <w:rFonts w:ascii="Times New Roman" w:hAnsi="Times New Roman" w:cs="Times New Roman"/>
          <w:sz w:val="24"/>
          <w:szCs w:val="24"/>
        </w:rPr>
        <w:t xml:space="preserve">Creswell, J. W., &amp; Guetterman, T. C. (2015). </w:t>
      </w:r>
      <w:r w:rsidRPr="00754FE0">
        <w:rPr>
          <w:rFonts w:ascii="Times New Roman" w:hAnsi="Times New Roman" w:cs="Times New Roman"/>
          <w:i/>
          <w:sz w:val="24"/>
          <w:szCs w:val="24"/>
        </w:rPr>
        <w:t>Educational research: Planning,</w:t>
      </w:r>
      <w:r w:rsidR="00D91A46">
        <w:rPr>
          <w:rFonts w:ascii="Times New Roman" w:hAnsi="Times New Roman" w:cs="Times New Roman"/>
          <w:i/>
          <w:sz w:val="24"/>
          <w:szCs w:val="24"/>
        </w:rPr>
        <w:t xml:space="preserve"> </w:t>
      </w:r>
      <w:r w:rsidRPr="00754FE0">
        <w:rPr>
          <w:rFonts w:ascii="Times New Roman" w:hAnsi="Times New Roman" w:cs="Times New Roman"/>
          <w:i/>
          <w:sz w:val="24"/>
          <w:szCs w:val="24"/>
        </w:rPr>
        <w:t xml:space="preserve">conducting, and </w:t>
      </w:r>
    </w:p>
    <w:p w14:paraId="5AFD0F19" w14:textId="10AF3589" w:rsidR="00FB41AA" w:rsidRPr="00754FE0" w:rsidRDefault="00FB41AA" w:rsidP="00BA4A2D">
      <w:pPr>
        <w:widowControl w:val="0"/>
        <w:spacing w:after="0" w:line="480" w:lineRule="auto"/>
        <w:ind w:firstLine="720"/>
        <w:rPr>
          <w:rFonts w:ascii="Times New Roman" w:hAnsi="Times New Roman" w:cs="Times New Roman"/>
          <w:sz w:val="24"/>
          <w:szCs w:val="24"/>
        </w:rPr>
      </w:pPr>
      <w:r w:rsidRPr="00754FE0">
        <w:rPr>
          <w:rFonts w:ascii="Times New Roman" w:hAnsi="Times New Roman" w:cs="Times New Roman"/>
          <w:i/>
          <w:sz w:val="24"/>
          <w:szCs w:val="24"/>
        </w:rPr>
        <w:t xml:space="preserve">evaluating quantitative and qualitative research </w:t>
      </w:r>
      <w:r w:rsidRPr="00BA4A2D">
        <w:rPr>
          <w:rFonts w:ascii="Times New Roman" w:hAnsi="Times New Roman" w:cs="Times New Roman"/>
          <w:iCs/>
          <w:sz w:val="24"/>
          <w:szCs w:val="24"/>
        </w:rPr>
        <w:t>(6</w:t>
      </w:r>
      <w:r w:rsidRPr="00BA4A2D">
        <w:rPr>
          <w:rFonts w:ascii="Times New Roman" w:hAnsi="Times New Roman" w:cs="Times New Roman"/>
          <w:iCs/>
          <w:sz w:val="24"/>
          <w:szCs w:val="24"/>
          <w:vertAlign w:val="superscript"/>
        </w:rPr>
        <w:t>th</w:t>
      </w:r>
      <w:r w:rsidRPr="00BA4A2D">
        <w:rPr>
          <w:rFonts w:ascii="Times New Roman" w:hAnsi="Times New Roman" w:cs="Times New Roman"/>
          <w:iCs/>
          <w:sz w:val="24"/>
          <w:szCs w:val="24"/>
        </w:rPr>
        <w:t xml:space="preserve"> ed.). </w:t>
      </w:r>
      <w:r w:rsidRPr="00754FE0">
        <w:rPr>
          <w:rFonts w:ascii="Times New Roman" w:hAnsi="Times New Roman" w:cs="Times New Roman"/>
          <w:sz w:val="24"/>
          <w:szCs w:val="24"/>
        </w:rPr>
        <w:t>Pearson.</w:t>
      </w:r>
    </w:p>
    <w:p w14:paraId="5FB00A32" w14:textId="6421F6B9" w:rsidR="00FB41AA" w:rsidRPr="00BA4A2D" w:rsidRDefault="00FB41AA" w:rsidP="00BA4A2D">
      <w:pPr>
        <w:widowControl w:val="0"/>
        <w:spacing w:after="0" w:line="480" w:lineRule="auto"/>
        <w:ind w:left="720" w:hanging="720"/>
        <w:rPr>
          <w:rFonts w:ascii="Times New Roman" w:hAnsi="Times New Roman" w:cs="Times New Roman"/>
          <w:i/>
          <w:sz w:val="24"/>
          <w:szCs w:val="24"/>
        </w:rPr>
      </w:pPr>
      <w:r w:rsidRPr="00754FE0">
        <w:rPr>
          <w:rFonts w:ascii="Times New Roman" w:hAnsi="Times New Roman" w:cs="Times New Roman"/>
          <w:sz w:val="24"/>
          <w:szCs w:val="24"/>
        </w:rPr>
        <w:t>Creswell, J</w:t>
      </w:r>
      <w:r w:rsidR="00D91A46">
        <w:rPr>
          <w:rFonts w:ascii="Times New Roman" w:hAnsi="Times New Roman" w:cs="Times New Roman"/>
          <w:sz w:val="24"/>
          <w:szCs w:val="24"/>
        </w:rPr>
        <w:t>., &amp;</w:t>
      </w:r>
      <w:r w:rsidRPr="00754FE0">
        <w:rPr>
          <w:rFonts w:ascii="Times New Roman" w:hAnsi="Times New Roman" w:cs="Times New Roman"/>
          <w:sz w:val="24"/>
          <w:szCs w:val="24"/>
        </w:rPr>
        <w:t xml:space="preserve"> Plano-Clark, V. (2007)</w:t>
      </w:r>
      <w:r w:rsidR="00736F31">
        <w:rPr>
          <w:rFonts w:ascii="Times New Roman" w:hAnsi="Times New Roman" w:cs="Times New Roman"/>
          <w:sz w:val="24"/>
          <w:szCs w:val="24"/>
        </w:rPr>
        <w:t xml:space="preserve">. </w:t>
      </w:r>
      <w:r w:rsidRPr="00754FE0">
        <w:rPr>
          <w:rFonts w:ascii="Times New Roman" w:hAnsi="Times New Roman" w:cs="Times New Roman"/>
          <w:i/>
          <w:sz w:val="24"/>
          <w:szCs w:val="24"/>
        </w:rPr>
        <w:t xml:space="preserve">Designing and conducting mixed methods </w:t>
      </w:r>
      <w:r w:rsidRPr="00754FE0">
        <w:rPr>
          <w:rFonts w:ascii="Times New Roman" w:hAnsi="Times New Roman" w:cs="Times New Roman"/>
          <w:i/>
          <w:sz w:val="24"/>
          <w:szCs w:val="24"/>
        </w:rPr>
        <w:tab/>
        <w:t xml:space="preserve">research. </w:t>
      </w:r>
      <w:r w:rsidRPr="00754FE0">
        <w:rPr>
          <w:rFonts w:ascii="Times New Roman" w:hAnsi="Times New Roman" w:cs="Times New Roman"/>
          <w:sz w:val="24"/>
          <w:szCs w:val="24"/>
        </w:rPr>
        <w:t>Sage.</w:t>
      </w:r>
    </w:p>
    <w:p w14:paraId="7F83F68E" w14:textId="77777777" w:rsidR="00FB41AA" w:rsidRDefault="00FB41AA"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Dou, R., Brewe, E., Zwolak, J.P., Potvin, G., Williams, E. A., &amp; Kramer, L. H. (2016). Beyond </w:t>
      </w:r>
    </w:p>
    <w:p w14:paraId="4D33A6AB" w14:textId="30920EDA" w:rsidR="005825AA" w:rsidRPr="00C31284" w:rsidRDefault="00FB41AA" w:rsidP="00BA4A2D">
      <w:pPr>
        <w:widowControl w:val="0"/>
        <w:spacing w:after="0" w:line="480" w:lineRule="auto"/>
        <w:ind w:left="720"/>
        <w:rPr>
          <w:rFonts w:ascii="Times New Roman" w:hAnsi="Times New Roman" w:cs="Times New Roman"/>
          <w:i/>
          <w:sz w:val="24"/>
          <w:szCs w:val="24"/>
        </w:rPr>
      </w:pPr>
      <w:r>
        <w:rPr>
          <w:rFonts w:ascii="Times New Roman" w:hAnsi="Times New Roman" w:cs="Times New Roman"/>
          <w:sz w:val="24"/>
          <w:szCs w:val="24"/>
        </w:rPr>
        <w:t xml:space="preserve">performance metrics: Examining a decrease in students’ physics self-efficacy through a social networks lens. </w:t>
      </w:r>
      <w:r>
        <w:rPr>
          <w:rFonts w:ascii="Times New Roman" w:hAnsi="Times New Roman" w:cs="Times New Roman"/>
          <w:i/>
          <w:sz w:val="24"/>
          <w:szCs w:val="24"/>
        </w:rPr>
        <w:t>Physical Review Physics Education Research, 12</w:t>
      </w:r>
      <w:r>
        <w:rPr>
          <w:rFonts w:ascii="Times New Roman" w:hAnsi="Times New Roman" w:cs="Times New Roman"/>
          <w:sz w:val="24"/>
          <w:szCs w:val="24"/>
        </w:rPr>
        <w:t>(2), 1-14.</w:t>
      </w:r>
      <w:r>
        <w:rPr>
          <w:rFonts w:ascii="Times New Roman" w:hAnsi="Times New Roman" w:cs="Times New Roman"/>
          <w:i/>
          <w:sz w:val="24"/>
          <w:szCs w:val="24"/>
        </w:rPr>
        <w:t xml:space="preserve"> </w:t>
      </w:r>
    </w:p>
    <w:p w14:paraId="7801AA41" w14:textId="77777777" w:rsidR="005825AA" w:rsidRDefault="005825AA"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Diekman, A. B., Brown, E. R., Johnson, A. M., &amp; Clark, E.K. (2010). Seeking congruity </w:t>
      </w:r>
    </w:p>
    <w:p w14:paraId="059515F7" w14:textId="0DF36BA1" w:rsidR="005825AA" w:rsidRDefault="005825AA" w:rsidP="00BA4A2D">
      <w:pPr>
        <w:widowControl w:val="0"/>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between goals and roles: A new look at why women opt out of science, technology, engineering, and mathematics careers. </w:t>
      </w:r>
      <w:r>
        <w:rPr>
          <w:rFonts w:ascii="Times New Roman" w:hAnsi="Times New Roman" w:cs="Times New Roman"/>
          <w:i/>
          <w:sz w:val="24"/>
          <w:szCs w:val="24"/>
        </w:rPr>
        <w:t xml:space="preserve">Psychological Science, 21, </w:t>
      </w:r>
      <w:r>
        <w:rPr>
          <w:rFonts w:ascii="Times New Roman" w:hAnsi="Times New Roman" w:cs="Times New Roman"/>
          <w:sz w:val="24"/>
          <w:szCs w:val="24"/>
        </w:rPr>
        <w:t>1051-1057.</w:t>
      </w:r>
    </w:p>
    <w:p w14:paraId="7C47A0ED" w14:textId="77777777" w:rsidR="005825AA" w:rsidRDefault="005825AA"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Diekman, A. B., Clark, E. K., Johnson, A. M., Brown, E. R., &amp; Steinberg, M. (2011). </w:t>
      </w:r>
    </w:p>
    <w:p w14:paraId="24949336" w14:textId="3496C000" w:rsidR="005825AA" w:rsidRPr="005825AA" w:rsidRDefault="005825AA" w:rsidP="00BA4A2D">
      <w:pPr>
        <w:widowControl w:val="0"/>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Malleability in communal goals and beliefs influences attraction to STEM careers: Evidence for a goal congruity perspective. </w:t>
      </w:r>
      <w:r>
        <w:rPr>
          <w:rFonts w:ascii="Times New Roman" w:hAnsi="Times New Roman" w:cs="Times New Roman"/>
          <w:i/>
          <w:sz w:val="24"/>
          <w:szCs w:val="24"/>
        </w:rPr>
        <w:t xml:space="preserve">Journal of Personality and Social Psychology, 101, </w:t>
      </w:r>
      <w:r>
        <w:rPr>
          <w:rFonts w:ascii="Times New Roman" w:hAnsi="Times New Roman" w:cs="Times New Roman"/>
          <w:sz w:val="24"/>
          <w:szCs w:val="24"/>
        </w:rPr>
        <w:t>902-918.</w:t>
      </w:r>
    </w:p>
    <w:p w14:paraId="1F1E8DB1" w14:textId="055591FE" w:rsidR="00FB41AA" w:rsidRPr="008F0228" w:rsidRDefault="00FB41AA" w:rsidP="00BA4A2D">
      <w:pPr>
        <w:widowControl w:val="0"/>
        <w:spacing w:after="0" w:line="480" w:lineRule="auto"/>
        <w:rPr>
          <w:rFonts w:ascii="Times New Roman" w:hAnsi="Times New Roman" w:cs="Times New Roman"/>
          <w:sz w:val="24"/>
          <w:szCs w:val="24"/>
        </w:rPr>
      </w:pPr>
      <w:r w:rsidRPr="008F0228">
        <w:rPr>
          <w:rFonts w:ascii="Times New Roman" w:hAnsi="Times New Roman" w:cs="Times New Roman"/>
          <w:sz w:val="24"/>
          <w:szCs w:val="24"/>
        </w:rPr>
        <w:lastRenderedPageBreak/>
        <w:t>Fencl, H</w:t>
      </w:r>
      <w:r w:rsidR="00D91A46">
        <w:rPr>
          <w:rFonts w:ascii="Times New Roman" w:hAnsi="Times New Roman" w:cs="Times New Roman"/>
          <w:sz w:val="24"/>
          <w:szCs w:val="24"/>
        </w:rPr>
        <w:t>., &amp;</w:t>
      </w:r>
      <w:r w:rsidRPr="008F0228">
        <w:rPr>
          <w:rFonts w:ascii="Times New Roman" w:hAnsi="Times New Roman" w:cs="Times New Roman"/>
          <w:sz w:val="24"/>
          <w:szCs w:val="24"/>
        </w:rPr>
        <w:t xml:space="preserve"> Scheel, K. (2005). Engaging students: An examination of the effects of teaching </w:t>
      </w:r>
    </w:p>
    <w:p w14:paraId="722E7C4A" w14:textId="3ECE73BF" w:rsidR="00FB41AA" w:rsidRPr="008F0228" w:rsidRDefault="00FB41AA" w:rsidP="00BA4A2D">
      <w:pPr>
        <w:widowControl w:val="0"/>
        <w:spacing w:after="0" w:line="480" w:lineRule="auto"/>
        <w:ind w:left="720"/>
        <w:rPr>
          <w:rFonts w:ascii="Times New Roman" w:hAnsi="Times New Roman" w:cs="Times New Roman"/>
          <w:sz w:val="24"/>
          <w:szCs w:val="24"/>
        </w:rPr>
      </w:pPr>
      <w:r w:rsidRPr="008F0228">
        <w:rPr>
          <w:rFonts w:ascii="Times New Roman" w:hAnsi="Times New Roman" w:cs="Times New Roman"/>
          <w:sz w:val="24"/>
          <w:szCs w:val="24"/>
        </w:rPr>
        <w:t>strategies on self-efficacy and course climate in nonmajors physics course.</w:t>
      </w:r>
      <w:r w:rsidRPr="008F0228">
        <w:rPr>
          <w:rFonts w:ascii="Times New Roman" w:hAnsi="Times New Roman" w:cs="Times New Roman"/>
          <w:i/>
          <w:sz w:val="24"/>
          <w:szCs w:val="24"/>
        </w:rPr>
        <w:t xml:space="preserve"> Journal of College Science Teaching</w:t>
      </w:r>
      <w:r w:rsidR="006000F2">
        <w:rPr>
          <w:rFonts w:ascii="Times New Roman" w:hAnsi="Times New Roman" w:cs="Times New Roman"/>
          <w:i/>
          <w:sz w:val="24"/>
          <w:szCs w:val="24"/>
        </w:rPr>
        <w:t>,</w:t>
      </w:r>
      <w:r w:rsidRPr="008F0228">
        <w:rPr>
          <w:rFonts w:ascii="Times New Roman" w:hAnsi="Times New Roman" w:cs="Times New Roman"/>
          <w:i/>
          <w:sz w:val="24"/>
          <w:szCs w:val="24"/>
        </w:rPr>
        <w:t xml:space="preserve"> 35</w:t>
      </w:r>
      <w:r w:rsidRPr="008F0228">
        <w:rPr>
          <w:rFonts w:ascii="Times New Roman" w:hAnsi="Times New Roman" w:cs="Times New Roman"/>
          <w:sz w:val="24"/>
          <w:szCs w:val="24"/>
        </w:rPr>
        <w:t>(1), 20-24.</w:t>
      </w:r>
    </w:p>
    <w:p w14:paraId="7C631D89" w14:textId="77777777" w:rsidR="00FB41AA" w:rsidRPr="00BA4A2D" w:rsidRDefault="00FB41AA" w:rsidP="00BA4A2D">
      <w:pPr>
        <w:widowControl w:val="0"/>
        <w:autoSpaceDE w:val="0"/>
        <w:autoSpaceDN w:val="0"/>
        <w:adjustRightInd w:val="0"/>
        <w:spacing w:after="0" w:line="480" w:lineRule="auto"/>
        <w:rPr>
          <w:rFonts w:ascii="Times New Roman" w:hAnsi="Times New Roman" w:cs="Times New Roman"/>
          <w:i/>
          <w:color w:val="000000"/>
          <w:sz w:val="24"/>
          <w:szCs w:val="24"/>
        </w:rPr>
      </w:pPr>
      <w:r w:rsidRPr="008F0228">
        <w:rPr>
          <w:rFonts w:ascii="Times New Roman" w:hAnsi="Times New Roman" w:cs="Times New Roman"/>
          <w:color w:val="000000"/>
          <w:sz w:val="24"/>
          <w:szCs w:val="24"/>
        </w:rPr>
        <w:t xml:space="preserve">Ferrare. J. J., &amp; Lee, Y. G. (2014). </w:t>
      </w:r>
      <w:r w:rsidRPr="00BA4A2D">
        <w:rPr>
          <w:rFonts w:ascii="Times New Roman" w:hAnsi="Times New Roman" w:cs="Times New Roman"/>
          <w:i/>
          <w:color w:val="000000"/>
          <w:sz w:val="24"/>
          <w:szCs w:val="24"/>
        </w:rPr>
        <w:t xml:space="preserve">Should we still be talking about leaving? A comparative </w:t>
      </w:r>
    </w:p>
    <w:p w14:paraId="6BA49B2E" w14:textId="3AD268DF" w:rsidR="00FB41AA" w:rsidRPr="004F55D1" w:rsidRDefault="00FB41AA" w:rsidP="00BA4A2D">
      <w:pPr>
        <w:widowControl w:val="0"/>
        <w:autoSpaceDE w:val="0"/>
        <w:autoSpaceDN w:val="0"/>
        <w:adjustRightInd w:val="0"/>
        <w:spacing w:after="0" w:line="480" w:lineRule="auto"/>
        <w:ind w:left="720"/>
        <w:rPr>
          <w:rFonts w:ascii="Times New Roman" w:hAnsi="Times New Roman" w:cs="Times New Roman"/>
          <w:sz w:val="24"/>
          <w:szCs w:val="24"/>
        </w:rPr>
      </w:pPr>
      <w:r w:rsidRPr="00BA4A2D">
        <w:rPr>
          <w:rFonts w:ascii="Times New Roman" w:hAnsi="Times New Roman" w:cs="Times New Roman"/>
          <w:i/>
          <w:color w:val="000000"/>
          <w:sz w:val="24"/>
          <w:szCs w:val="24"/>
        </w:rPr>
        <w:t>examination of social inequality in undergraduates’ major switching patterns</w:t>
      </w:r>
      <w:r w:rsidRPr="006000F2">
        <w:rPr>
          <w:rFonts w:ascii="Times New Roman" w:hAnsi="Times New Roman" w:cs="Times New Roman"/>
          <w:i/>
          <w:color w:val="000000"/>
          <w:sz w:val="24"/>
          <w:szCs w:val="24"/>
        </w:rPr>
        <w:t xml:space="preserve">. </w:t>
      </w:r>
      <w:r w:rsidRPr="00BA4A2D">
        <w:rPr>
          <w:rFonts w:ascii="Times New Roman" w:hAnsi="Times New Roman" w:cs="Times New Roman"/>
          <w:i/>
          <w:color w:val="000000"/>
          <w:sz w:val="24"/>
          <w:szCs w:val="24"/>
        </w:rPr>
        <w:t>Working Paper No. 2014-5</w:t>
      </w:r>
      <w:r w:rsidRPr="008F0228">
        <w:rPr>
          <w:rFonts w:ascii="Times New Roman" w:hAnsi="Times New Roman" w:cs="Times New Roman"/>
          <w:color w:val="000000"/>
          <w:sz w:val="24"/>
          <w:szCs w:val="24"/>
        </w:rPr>
        <w:t xml:space="preserve">. </w:t>
      </w:r>
      <w:r w:rsidRPr="004F55D1">
        <w:rPr>
          <w:rFonts w:ascii="Times New Roman" w:hAnsi="Times New Roman" w:cs="Times New Roman"/>
          <w:sz w:val="24"/>
          <w:szCs w:val="24"/>
        </w:rPr>
        <w:t>http://www.wcer.wisc.edu/publications/workingPapers/papers.php</w:t>
      </w:r>
    </w:p>
    <w:p w14:paraId="7F1D099A" w14:textId="1DCE3CC0" w:rsidR="00AB17D3" w:rsidRDefault="00AB17D3"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Haenlein, M</w:t>
      </w:r>
      <w:r w:rsidR="00D91A46">
        <w:rPr>
          <w:rFonts w:ascii="Times New Roman" w:hAnsi="Times New Roman" w:cs="Times New Roman"/>
          <w:sz w:val="24"/>
          <w:szCs w:val="24"/>
        </w:rPr>
        <w:t>., &amp;</w:t>
      </w:r>
      <w:r>
        <w:rPr>
          <w:rFonts w:ascii="Times New Roman" w:hAnsi="Times New Roman" w:cs="Times New Roman"/>
          <w:sz w:val="24"/>
          <w:szCs w:val="24"/>
        </w:rPr>
        <w:t xml:space="preserve"> Kaplan, A. (2019). A brief history of artificial intelligence: On the past, present, </w:t>
      </w:r>
    </w:p>
    <w:p w14:paraId="6190B190" w14:textId="657997FC" w:rsidR="00AB17D3" w:rsidRDefault="00AB17D3"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and future of artificial intelligence. </w:t>
      </w:r>
      <w:r w:rsidRPr="00AB17D3">
        <w:rPr>
          <w:rFonts w:ascii="Times New Roman" w:hAnsi="Times New Roman" w:cs="Times New Roman"/>
          <w:i/>
          <w:sz w:val="24"/>
          <w:szCs w:val="24"/>
        </w:rPr>
        <w:t>California Management Review</w:t>
      </w:r>
      <w:r w:rsidR="006000F2">
        <w:rPr>
          <w:rFonts w:ascii="Times New Roman" w:hAnsi="Times New Roman" w:cs="Times New Roman"/>
          <w:i/>
          <w:sz w:val="24"/>
          <w:szCs w:val="24"/>
        </w:rPr>
        <w:t>,</w:t>
      </w:r>
      <w:r>
        <w:rPr>
          <w:rFonts w:ascii="Times New Roman" w:hAnsi="Times New Roman" w:cs="Times New Roman"/>
          <w:sz w:val="24"/>
          <w:szCs w:val="24"/>
        </w:rPr>
        <w:t xml:space="preserve"> </w:t>
      </w:r>
      <w:r w:rsidRPr="00AB17D3">
        <w:rPr>
          <w:rFonts w:ascii="Times New Roman" w:hAnsi="Times New Roman" w:cs="Times New Roman"/>
          <w:i/>
          <w:sz w:val="24"/>
          <w:szCs w:val="24"/>
        </w:rPr>
        <w:t>61</w:t>
      </w:r>
      <w:r>
        <w:rPr>
          <w:rFonts w:ascii="Times New Roman" w:hAnsi="Times New Roman" w:cs="Times New Roman"/>
          <w:sz w:val="24"/>
          <w:szCs w:val="24"/>
        </w:rPr>
        <w:t>(4)</w:t>
      </w:r>
      <w:r w:rsidR="006000F2">
        <w:rPr>
          <w:rFonts w:ascii="Times New Roman" w:hAnsi="Times New Roman" w:cs="Times New Roman"/>
          <w:sz w:val="24"/>
          <w:szCs w:val="24"/>
        </w:rPr>
        <w:t>,</w:t>
      </w:r>
      <w:r>
        <w:rPr>
          <w:rFonts w:ascii="Times New Roman" w:hAnsi="Times New Roman" w:cs="Times New Roman"/>
          <w:sz w:val="24"/>
          <w:szCs w:val="24"/>
        </w:rPr>
        <w:t xml:space="preserve"> 5-14.</w:t>
      </w:r>
    </w:p>
    <w:p w14:paraId="35C1AAB0" w14:textId="602817D9" w:rsidR="006000F2" w:rsidRDefault="00FB41AA" w:rsidP="000943B8">
      <w:pPr>
        <w:widowControl w:val="0"/>
        <w:spacing w:after="0" w:line="480" w:lineRule="auto"/>
        <w:rPr>
          <w:rFonts w:ascii="Times New Roman" w:hAnsi="Times New Roman" w:cs="Times New Roman"/>
          <w:sz w:val="24"/>
          <w:szCs w:val="24"/>
        </w:rPr>
      </w:pPr>
      <w:r w:rsidRPr="000312D9">
        <w:rPr>
          <w:rFonts w:ascii="Times New Roman" w:hAnsi="Times New Roman" w:cs="Times New Roman"/>
          <w:sz w:val="24"/>
          <w:szCs w:val="24"/>
        </w:rPr>
        <w:t>Hendrix, K. G., Mazer, J. P</w:t>
      </w:r>
      <w:r w:rsidR="00D91A46">
        <w:rPr>
          <w:rFonts w:ascii="Times New Roman" w:hAnsi="Times New Roman" w:cs="Times New Roman"/>
          <w:sz w:val="24"/>
          <w:szCs w:val="24"/>
        </w:rPr>
        <w:t>., &amp;</w:t>
      </w:r>
      <w:r w:rsidRPr="000312D9">
        <w:rPr>
          <w:rFonts w:ascii="Times New Roman" w:hAnsi="Times New Roman" w:cs="Times New Roman"/>
          <w:sz w:val="24"/>
          <w:szCs w:val="24"/>
        </w:rPr>
        <w:t xml:space="preserve"> Hess, J. A. (2016). Interrogating the darkness.</w:t>
      </w:r>
      <w:r w:rsidR="006000F2">
        <w:rPr>
          <w:rFonts w:ascii="Times New Roman" w:hAnsi="Times New Roman" w:cs="Times New Roman"/>
          <w:sz w:val="24"/>
          <w:szCs w:val="24"/>
        </w:rPr>
        <w:t xml:space="preserve"> </w:t>
      </w:r>
      <w:r w:rsidRPr="0044622A">
        <w:rPr>
          <w:rFonts w:ascii="Times New Roman" w:hAnsi="Times New Roman" w:cs="Times New Roman"/>
          <w:i/>
          <w:sz w:val="24"/>
          <w:szCs w:val="24"/>
        </w:rPr>
        <w:t>Communication</w:t>
      </w:r>
      <w:r w:rsidRPr="0044622A">
        <w:rPr>
          <w:rFonts w:ascii="Times New Roman" w:hAnsi="Times New Roman" w:cs="Times New Roman"/>
          <w:sz w:val="24"/>
          <w:szCs w:val="24"/>
        </w:rPr>
        <w:t xml:space="preserve"> </w:t>
      </w:r>
    </w:p>
    <w:p w14:paraId="43C11E30" w14:textId="4EE4ACB0" w:rsidR="00FB41AA" w:rsidRPr="0044622A" w:rsidRDefault="00FB41AA" w:rsidP="00BA4A2D">
      <w:pPr>
        <w:widowControl w:val="0"/>
        <w:spacing w:after="0" w:line="480" w:lineRule="auto"/>
        <w:ind w:firstLine="720"/>
        <w:rPr>
          <w:rFonts w:ascii="Times New Roman" w:hAnsi="Times New Roman" w:cs="Times New Roman"/>
          <w:sz w:val="24"/>
          <w:szCs w:val="24"/>
        </w:rPr>
      </w:pPr>
      <w:r w:rsidRPr="0044622A">
        <w:rPr>
          <w:rFonts w:ascii="Times New Roman" w:hAnsi="Times New Roman" w:cs="Times New Roman"/>
          <w:i/>
          <w:sz w:val="24"/>
          <w:szCs w:val="24"/>
        </w:rPr>
        <w:t xml:space="preserve">Education, </w:t>
      </w:r>
      <w:r w:rsidR="00A153E7">
        <w:rPr>
          <w:rFonts w:ascii="Times New Roman" w:hAnsi="Times New Roman" w:cs="Times New Roman"/>
          <w:i/>
          <w:sz w:val="24"/>
          <w:szCs w:val="24"/>
        </w:rPr>
        <w:t>65</w:t>
      </w:r>
      <w:r w:rsidR="00A153E7">
        <w:rPr>
          <w:rFonts w:ascii="Times New Roman" w:hAnsi="Times New Roman" w:cs="Times New Roman"/>
          <w:sz w:val="24"/>
          <w:szCs w:val="24"/>
        </w:rPr>
        <w:t>(1)</w:t>
      </w:r>
      <w:r w:rsidRPr="0044622A">
        <w:rPr>
          <w:rFonts w:ascii="Times New Roman" w:hAnsi="Times New Roman" w:cs="Times New Roman"/>
          <w:sz w:val="24"/>
          <w:szCs w:val="24"/>
        </w:rPr>
        <w:t xml:space="preserve">, 105-127. </w:t>
      </w:r>
    </w:p>
    <w:p w14:paraId="62AFF41F" w14:textId="39254306" w:rsidR="00FB41AA" w:rsidRDefault="00FB41AA" w:rsidP="00BA4A2D">
      <w:pPr>
        <w:widowControl w:val="0"/>
        <w:spacing w:after="0" w:line="480" w:lineRule="auto"/>
        <w:rPr>
          <w:rFonts w:ascii="Times New Roman" w:hAnsi="Times New Roman" w:cs="Times New Roman"/>
          <w:i/>
          <w:color w:val="000000"/>
          <w:sz w:val="24"/>
          <w:szCs w:val="24"/>
          <w:shd w:val="clear" w:color="auto" w:fill="FFFFFF"/>
        </w:rPr>
      </w:pPr>
      <w:r w:rsidRPr="0044622A">
        <w:rPr>
          <w:rFonts w:ascii="Times New Roman" w:hAnsi="Times New Roman" w:cs="Times New Roman"/>
          <w:color w:val="000000"/>
          <w:sz w:val="24"/>
          <w:szCs w:val="24"/>
          <w:shd w:val="clear" w:color="auto" w:fill="FFFFFF"/>
        </w:rPr>
        <w:t xml:space="preserve">Hestenes, D., Wells, M., </w:t>
      </w:r>
      <w:r w:rsidR="006000F2">
        <w:rPr>
          <w:rFonts w:ascii="Times New Roman" w:hAnsi="Times New Roman" w:cs="Times New Roman"/>
          <w:color w:val="000000"/>
          <w:sz w:val="24"/>
          <w:szCs w:val="24"/>
          <w:shd w:val="clear" w:color="auto" w:fill="FFFFFF"/>
        </w:rPr>
        <w:t xml:space="preserve">&amp; </w:t>
      </w:r>
      <w:r>
        <w:rPr>
          <w:rFonts w:ascii="Times New Roman" w:hAnsi="Times New Roman" w:cs="Times New Roman"/>
          <w:color w:val="000000"/>
          <w:sz w:val="24"/>
          <w:szCs w:val="24"/>
          <w:shd w:val="clear" w:color="auto" w:fill="FFFFFF"/>
        </w:rPr>
        <w:t>Swackhamer, G. (1992). Force concept i</w:t>
      </w:r>
      <w:r w:rsidRPr="0044622A">
        <w:rPr>
          <w:rFonts w:ascii="Times New Roman" w:hAnsi="Times New Roman" w:cs="Times New Roman"/>
          <w:color w:val="000000"/>
          <w:sz w:val="24"/>
          <w:szCs w:val="24"/>
          <w:shd w:val="clear" w:color="auto" w:fill="FFFFFF"/>
        </w:rPr>
        <w:t>nventory</w:t>
      </w:r>
      <w:r w:rsidR="006000F2">
        <w:rPr>
          <w:rFonts w:ascii="Times New Roman" w:hAnsi="Times New Roman" w:cs="Times New Roman"/>
          <w:color w:val="000000"/>
          <w:sz w:val="24"/>
          <w:szCs w:val="24"/>
          <w:shd w:val="clear" w:color="auto" w:fill="FFFFFF"/>
        </w:rPr>
        <w:t>.</w:t>
      </w:r>
      <w:r w:rsidRPr="0044622A">
        <w:rPr>
          <w:rFonts w:ascii="Times New Roman" w:hAnsi="Times New Roman" w:cs="Times New Roman"/>
          <w:color w:val="000000"/>
          <w:sz w:val="24"/>
          <w:szCs w:val="24"/>
          <w:shd w:val="clear" w:color="auto" w:fill="FFFFFF"/>
        </w:rPr>
        <w:t xml:space="preserve"> </w:t>
      </w:r>
      <w:r w:rsidRPr="0044622A">
        <w:rPr>
          <w:rFonts w:ascii="Times New Roman" w:hAnsi="Times New Roman" w:cs="Times New Roman"/>
          <w:i/>
          <w:color w:val="000000"/>
          <w:sz w:val="24"/>
          <w:szCs w:val="24"/>
          <w:shd w:val="clear" w:color="auto" w:fill="FFFFFF"/>
        </w:rPr>
        <w:t>The Physics</w:t>
      </w:r>
    </w:p>
    <w:p w14:paraId="13353D8E" w14:textId="77777777" w:rsidR="00FB41AA" w:rsidRPr="0044622A" w:rsidRDefault="00FB41AA" w:rsidP="00BA4A2D">
      <w:pPr>
        <w:widowControl w:val="0"/>
        <w:spacing w:after="0" w:line="480" w:lineRule="auto"/>
        <w:ind w:firstLine="720"/>
        <w:rPr>
          <w:rFonts w:ascii="Times New Roman" w:hAnsi="Times New Roman" w:cs="Times New Roman"/>
          <w:color w:val="000000"/>
          <w:sz w:val="24"/>
          <w:szCs w:val="24"/>
          <w:shd w:val="clear" w:color="auto" w:fill="FFFFFF"/>
        </w:rPr>
      </w:pPr>
      <w:r w:rsidRPr="0044622A">
        <w:rPr>
          <w:rFonts w:ascii="Times New Roman" w:hAnsi="Times New Roman" w:cs="Times New Roman"/>
          <w:i/>
          <w:color w:val="000000"/>
          <w:sz w:val="24"/>
          <w:szCs w:val="24"/>
          <w:shd w:val="clear" w:color="auto" w:fill="FFFFFF"/>
        </w:rPr>
        <w:t xml:space="preserve"> Teacher 30,</w:t>
      </w:r>
      <w:r w:rsidRPr="0044622A">
        <w:rPr>
          <w:rFonts w:ascii="Times New Roman" w:hAnsi="Times New Roman" w:cs="Times New Roman"/>
          <w:color w:val="000000"/>
          <w:sz w:val="24"/>
          <w:szCs w:val="24"/>
          <w:shd w:val="clear" w:color="auto" w:fill="FFFFFF"/>
        </w:rPr>
        <w:t xml:space="preserve"> 141-151</w:t>
      </w:r>
    </w:p>
    <w:p w14:paraId="11CB70A1" w14:textId="65890256" w:rsidR="00CA3D49" w:rsidRDefault="00CA3D49" w:rsidP="00BA4A2D">
      <w:pPr>
        <w:widowControl w:val="0"/>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Hosseini, M</w:t>
      </w:r>
      <w:r w:rsidR="00D91A46">
        <w:rPr>
          <w:rFonts w:ascii="Times New Roman" w:hAnsi="Times New Roman" w:cs="Times New Roman"/>
          <w:color w:val="000000"/>
          <w:sz w:val="24"/>
          <w:szCs w:val="24"/>
          <w:shd w:val="clear" w:color="auto" w:fill="FFFFFF"/>
        </w:rPr>
        <w:t>., &amp;</w:t>
      </w:r>
      <w:r>
        <w:rPr>
          <w:rFonts w:ascii="Times New Roman" w:hAnsi="Times New Roman" w:cs="Times New Roman"/>
          <w:color w:val="000000"/>
          <w:sz w:val="24"/>
          <w:szCs w:val="24"/>
          <w:shd w:val="clear" w:color="auto" w:fill="FFFFFF"/>
        </w:rPr>
        <w:t xml:space="preserve"> Shiva, S. (2021). Gender disparity in publication records: a qualitative study of </w:t>
      </w:r>
    </w:p>
    <w:p w14:paraId="44AC9C77" w14:textId="77777777" w:rsidR="00CA3D49" w:rsidRDefault="00CA3D49" w:rsidP="00BA4A2D">
      <w:pPr>
        <w:widowControl w:val="0"/>
        <w:spacing w:after="0" w:line="480" w:lineRule="auto"/>
        <w:rPr>
          <w:rFonts w:ascii="Times New Roman" w:hAnsi="Times New Roman" w:cs="Times New Roman"/>
          <w:i/>
          <w:color w:val="000000"/>
          <w:sz w:val="24"/>
          <w:szCs w:val="24"/>
          <w:shd w:val="clear" w:color="auto" w:fill="FFFFFF"/>
        </w:rPr>
      </w:pPr>
      <w:r>
        <w:rPr>
          <w:rFonts w:ascii="Times New Roman" w:hAnsi="Times New Roman" w:cs="Times New Roman"/>
          <w:color w:val="000000"/>
          <w:sz w:val="24"/>
          <w:szCs w:val="24"/>
          <w:shd w:val="clear" w:color="auto" w:fill="FFFFFF"/>
        </w:rPr>
        <w:tab/>
        <w:t xml:space="preserve">women researchers in computing and engineering. </w:t>
      </w:r>
      <w:r>
        <w:rPr>
          <w:rFonts w:ascii="Times New Roman" w:hAnsi="Times New Roman" w:cs="Times New Roman"/>
          <w:i/>
          <w:color w:val="000000"/>
          <w:sz w:val="24"/>
          <w:szCs w:val="24"/>
          <w:shd w:val="clear" w:color="auto" w:fill="FFFFFF"/>
        </w:rPr>
        <w:t xml:space="preserve">Research Integrity and Peer Review, </w:t>
      </w:r>
    </w:p>
    <w:p w14:paraId="2CFB621D" w14:textId="264726FA" w:rsidR="00CA3D49" w:rsidRPr="0077051D" w:rsidRDefault="00CA3D49" w:rsidP="00BA4A2D">
      <w:pPr>
        <w:widowControl w:val="0"/>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i/>
          <w:color w:val="000000"/>
          <w:sz w:val="24"/>
          <w:szCs w:val="24"/>
          <w:shd w:val="clear" w:color="auto" w:fill="FFFFFF"/>
        </w:rPr>
        <w:tab/>
      </w:r>
      <w:r w:rsidRPr="006000F2">
        <w:rPr>
          <w:rFonts w:ascii="Times New Roman" w:hAnsi="Times New Roman" w:cs="Times New Roman"/>
          <w:i/>
          <w:color w:val="000000"/>
          <w:sz w:val="24"/>
          <w:szCs w:val="24"/>
          <w:shd w:val="clear" w:color="auto" w:fill="FFFFFF"/>
        </w:rPr>
        <w:t>6</w:t>
      </w:r>
      <w:r w:rsidR="006000F2">
        <w:rPr>
          <w:rFonts w:ascii="Times New Roman" w:hAnsi="Times New Roman" w:cs="Times New Roman"/>
          <w:iCs/>
          <w:color w:val="000000"/>
          <w:sz w:val="24"/>
          <w:szCs w:val="24"/>
          <w:shd w:val="clear" w:color="auto" w:fill="FFFFFF"/>
        </w:rPr>
        <w:t>(</w:t>
      </w:r>
      <w:r>
        <w:rPr>
          <w:rFonts w:ascii="Times New Roman" w:hAnsi="Times New Roman" w:cs="Times New Roman"/>
          <w:color w:val="000000"/>
          <w:sz w:val="24"/>
          <w:szCs w:val="24"/>
          <w:shd w:val="clear" w:color="auto" w:fill="FFFFFF"/>
        </w:rPr>
        <w:t>1</w:t>
      </w:r>
      <w:r w:rsidR="006000F2">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1-14.</w:t>
      </w:r>
    </w:p>
    <w:p w14:paraId="7C872076" w14:textId="6653CE74" w:rsidR="00FB41AA" w:rsidRDefault="00FB41AA" w:rsidP="00BA4A2D">
      <w:pPr>
        <w:widowControl w:val="0"/>
        <w:spacing w:after="0" w:line="480" w:lineRule="auto"/>
        <w:rPr>
          <w:rFonts w:ascii="Times New Roman" w:hAnsi="Times New Roman" w:cs="Times New Roman"/>
          <w:color w:val="000000"/>
          <w:sz w:val="24"/>
          <w:szCs w:val="24"/>
          <w:shd w:val="clear" w:color="auto" w:fill="FFFFFF"/>
        </w:rPr>
      </w:pPr>
      <w:r w:rsidRPr="000312D9">
        <w:rPr>
          <w:rFonts w:ascii="Times New Roman" w:hAnsi="Times New Roman" w:cs="Times New Roman"/>
          <w:color w:val="000000"/>
          <w:sz w:val="24"/>
          <w:szCs w:val="24"/>
          <w:shd w:val="clear" w:color="auto" w:fill="FFFFFF"/>
        </w:rPr>
        <w:t>Huffman, D.</w:t>
      </w:r>
      <w:r w:rsidR="006000F2">
        <w:rPr>
          <w:rFonts w:ascii="Times New Roman" w:hAnsi="Times New Roman" w:cs="Times New Roman"/>
          <w:color w:val="000000"/>
          <w:sz w:val="24"/>
          <w:szCs w:val="24"/>
          <w:shd w:val="clear" w:color="auto" w:fill="FFFFFF"/>
        </w:rPr>
        <w:t>, &amp;</w:t>
      </w:r>
      <w:r w:rsidRPr="000312D9">
        <w:rPr>
          <w:rFonts w:ascii="Times New Roman" w:hAnsi="Times New Roman" w:cs="Times New Roman"/>
          <w:color w:val="000000"/>
          <w:sz w:val="24"/>
          <w:szCs w:val="24"/>
          <w:shd w:val="clear" w:color="auto" w:fill="FFFFFF"/>
        </w:rPr>
        <w:t xml:space="preserve"> Heller, P. (1</w:t>
      </w:r>
      <w:r>
        <w:rPr>
          <w:rFonts w:ascii="Times New Roman" w:hAnsi="Times New Roman" w:cs="Times New Roman"/>
          <w:color w:val="000000"/>
          <w:sz w:val="24"/>
          <w:szCs w:val="24"/>
          <w:shd w:val="clear" w:color="auto" w:fill="FFFFFF"/>
        </w:rPr>
        <w:t>995).</w:t>
      </w:r>
      <w:r w:rsidRPr="000312D9">
        <w:rPr>
          <w:rFonts w:ascii="Times New Roman" w:hAnsi="Times New Roman" w:cs="Times New Roman"/>
          <w:color w:val="000000"/>
          <w:sz w:val="24"/>
          <w:szCs w:val="24"/>
          <w:shd w:val="clear" w:color="auto" w:fill="FFFFFF"/>
        </w:rPr>
        <w:t xml:space="preserve"> What does the Force Concept Inventory </w:t>
      </w:r>
      <w:r w:rsidR="006000F2">
        <w:rPr>
          <w:rFonts w:ascii="Times New Roman" w:hAnsi="Times New Roman" w:cs="Times New Roman"/>
          <w:color w:val="000000"/>
          <w:sz w:val="24"/>
          <w:szCs w:val="24"/>
          <w:shd w:val="clear" w:color="auto" w:fill="FFFFFF"/>
        </w:rPr>
        <w:t>a</w:t>
      </w:r>
      <w:r w:rsidRPr="000312D9">
        <w:rPr>
          <w:rFonts w:ascii="Times New Roman" w:hAnsi="Times New Roman" w:cs="Times New Roman"/>
          <w:color w:val="000000"/>
          <w:sz w:val="24"/>
          <w:szCs w:val="24"/>
          <w:shd w:val="clear" w:color="auto" w:fill="FFFFFF"/>
        </w:rPr>
        <w:t xml:space="preserve">ctually </w:t>
      </w:r>
      <w:r w:rsidR="006000F2">
        <w:rPr>
          <w:rFonts w:ascii="Times New Roman" w:hAnsi="Times New Roman" w:cs="Times New Roman"/>
          <w:color w:val="000000"/>
          <w:sz w:val="24"/>
          <w:szCs w:val="24"/>
          <w:shd w:val="clear" w:color="auto" w:fill="FFFFFF"/>
        </w:rPr>
        <w:t>m</w:t>
      </w:r>
      <w:r w:rsidRPr="000312D9">
        <w:rPr>
          <w:rFonts w:ascii="Times New Roman" w:hAnsi="Times New Roman" w:cs="Times New Roman"/>
          <w:color w:val="000000"/>
          <w:sz w:val="24"/>
          <w:szCs w:val="24"/>
          <w:shd w:val="clear" w:color="auto" w:fill="FFFFFF"/>
        </w:rPr>
        <w:t xml:space="preserve">easure? </w:t>
      </w:r>
    </w:p>
    <w:p w14:paraId="66F551B1" w14:textId="21A63290" w:rsidR="00FB41AA" w:rsidRDefault="00FB41AA" w:rsidP="00BA4A2D">
      <w:pPr>
        <w:widowControl w:val="0"/>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0312D9">
        <w:rPr>
          <w:rFonts w:ascii="Times New Roman" w:hAnsi="Times New Roman" w:cs="Times New Roman"/>
          <w:i/>
          <w:color w:val="000000"/>
          <w:sz w:val="24"/>
          <w:szCs w:val="24"/>
          <w:shd w:val="clear" w:color="auto" w:fill="FFFFFF"/>
        </w:rPr>
        <w:t>The Physics Teacher</w:t>
      </w:r>
      <w:r w:rsidR="006000F2">
        <w:rPr>
          <w:rFonts w:ascii="Times New Roman" w:hAnsi="Times New Roman" w:cs="Times New Roman"/>
          <w:i/>
          <w:color w:val="000000"/>
          <w:sz w:val="24"/>
          <w:szCs w:val="24"/>
          <w:shd w:val="clear" w:color="auto" w:fill="FFFFFF"/>
        </w:rPr>
        <w:t>,</w:t>
      </w:r>
      <w:r w:rsidRPr="000312D9">
        <w:rPr>
          <w:rFonts w:ascii="Times New Roman" w:hAnsi="Times New Roman" w:cs="Times New Roman"/>
          <w:i/>
          <w:color w:val="000000"/>
          <w:sz w:val="24"/>
          <w:szCs w:val="24"/>
          <w:shd w:val="clear" w:color="auto" w:fill="FFFFFF"/>
        </w:rPr>
        <w:t xml:space="preserve"> 33</w:t>
      </w:r>
      <w:r w:rsidRPr="000312D9">
        <w:rPr>
          <w:rFonts w:ascii="Times New Roman" w:hAnsi="Times New Roman" w:cs="Times New Roman"/>
          <w:color w:val="000000"/>
          <w:sz w:val="24"/>
          <w:szCs w:val="24"/>
          <w:shd w:val="clear" w:color="auto" w:fill="FFFFFF"/>
        </w:rPr>
        <w:t>, 138-143.</w:t>
      </w:r>
    </w:p>
    <w:p w14:paraId="08E91C6A" w14:textId="502F85A1" w:rsidR="00B354BF" w:rsidRDefault="00B354BF" w:rsidP="00BA4A2D">
      <w:pPr>
        <w:widowControl w:val="0"/>
        <w:spacing w:after="0" w:line="480" w:lineRule="auto"/>
        <w:rPr>
          <w:rFonts w:ascii="Times New Roman" w:hAnsi="Times New Roman" w:cs="Times New Roman"/>
          <w:i/>
          <w:sz w:val="24"/>
          <w:szCs w:val="24"/>
        </w:rPr>
      </w:pPr>
      <w:r>
        <w:rPr>
          <w:rFonts w:ascii="Times New Roman" w:hAnsi="Times New Roman" w:cs="Times New Roman"/>
          <w:sz w:val="24"/>
          <w:szCs w:val="24"/>
        </w:rPr>
        <w:t>Illinois State Board of Education</w:t>
      </w:r>
      <w:r w:rsidR="006000F2">
        <w:rPr>
          <w:rFonts w:ascii="Times New Roman" w:hAnsi="Times New Roman" w:cs="Times New Roman"/>
          <w:sz w:val="24"/>
          <w:szCs w:val="24"/>
        </w:rPr>
        <w:t>.</w:t>
      </w:r>
      <w:r>
        <w:rPr>
          <w:rFonts w:ascii="Times New Roman" w:hAnsi="Times New Roman" w:cs="Times New Roman"/>
          <w:sz w:val="24"/>
          <w:szCs w:val="24"/>
        </w:rPr>
        <w:t xml:space="preserve"> (2019</w:t>
      </w:r>
      <w:r w:rsidRPr="00B354BF">
        <w:rPr>
          <w:rFonts w:ascii="Times New Roman" w:hAnsi="Times New Roman" w:cs="Times New Roman"/>
          <w:i/>
          <w:sz w:val="24"/>
          <w:szCs w:val="24"/>
        </w:rPr>
        <w:t xml:space="preserve">). Illinois at a glance report card: Lyons township high </w:t>
      </w:r>
    </w:p>
    <w:p w14:paraId="1EFD2818" w14:textId="4CBC0BCB" w:rsidR="00B354BF" w:rsidRDefault="00B354BF" w:rsidP="00BA4A2D">
      <w:pPr>
        <w:widowControl w:val="0"/>
        <w:spacing w:after="0" w:line="480" w:lineRule="auto"/>
        <w:rPr>
          <w:rFonts w:ascii="Times New Roman" w:hAnsi="Times New Roman" w:cs="Times New Roman"/>
          <w:sz w:val="24"/>
          <w:szCs w:val="24"/>
        </w:rPr>
      </w:pPr>
      <w:r>
        <w:rPr>
          <w:rFonts w:ascii="Times New Roman" w:hAnsi="Times New Roman" w:cs="Times New Roman"/>
          <w:i/>
          <w:sz w:val="24"/>
          <w:szCs w:val="24"/>
        </w:rPr>
        <w:tab/>
      </w:r>
      <w:r w:rsidRPr="00B354BF">
        <w:rPr>
          <w:rFonts w:ascii="Times New Roman" w:hAnsi="Times New Roman" w:cs="Times New Roman"/>
          <w:i/>
          <w:sz w:val="24"/>
          <w:szCs w:val="24"/>
        </w:rPr>
        <w:t xml:space="preserve">school. </w:t>
      </w:r>
      <w:r w:rsidRPr="00B354BF">
        <w:rPr>
          <w:rFonts w:ascii="Times New Roman" w:hAnsi="Times New Roman" w:cs="Times New Roman"/>
          <w:sz w:val="24"/>
          <w:szCs w:val="24"/>
        </w:rPr>
        <w:t>https://www.illinoisreportcard.com/School.aspx?schoolId=060162040170001#</w:t>
      </w:r>
      <w:r>
        <w:rPr>
          <w:rFonts w:ascii="Times New Roman" w:hAnsi="Times New Roman" w:cs="Times New Roman"/>
          <w:sz w:val="24"/>
          <w:szCs w:val="24"/>
        </w:rPr>
        <w:t xml:space="preserve"> </w:t>
      </w:r>
    </w:p>
    <w:p w14:paraId="2F15EE0C" w14:textId="4B03445F" w:rsidR="001326E0" w:rsidRDefault="00FB41AA" w:rsidP="000943B8">
      <w:pPr>
        <w:widowControl w:val="0"/>
        <w:spacing w:after="0" w:line="480" w:lineRule="auto"/>
        <w:rPr>
          <w:rFonts w:ascii="Times New Roman" w:hAnsi="Times New Roman" w:cs="Times New Roman"/>
          <w:i/>
          <w:sz w:val="24"/>
          <w:szCs w:val="24"/>
        </w:rPr>
      </w:pPr>
      <w:r w:rsidRPr="00610033">
        <w:rPr>
          <w:rFonts w:ascii="Times New Roman" w:hAnsi="Times New Roman" w:cs="Times New Roman"/>
          <w:sz w:val="24"/>
          <w:szCs w:val="24"/>
        </w:rPr>
        <w:t xml:space="preserve">Jugovic, I. (2017). Students’ gender-related choices in achievement in physics. </w:t>
      </w:r>
      <w:r w:rsidRPr="00610033">
        <w:rPr>
          <w:rFonts w:ascii="Times New Roman" w:hAnsi="Times New Roman" w:cs="Times New Roman"/>
          <w:i/>
          <w:sz w:val="24"/>
          <w:szCs w:val="24"/>
        </w:rPr>
        <w:t xml:space="preserve">CEPS Journal, </w:t>
      </w:r>
    </w:p>
    <w:p w14:paraId="6B45EC74" w14:textId="76297261" w:rsidR="00FB41AA" w:rsidRPr="00610033" w:rsidRDefault="00FB41AA" w:rsidP="00BA4A2D">
      <w:pPr>
        <w:widowControl w:val="0"/>
        <w:spacing w:after="0" w:line="480" w:lineRule="auto"/>
        <w:ind w:firstLine="720"/>
        <w:rPr>
          <w:rFonts w:ascii="Times New Roman" w:hAnsi="Times New Roman" w:cs="Times New Roman"/>
          <w:sz w:val="24"/>
          <w:szCs w:val="24"/>
        </w:rPr>
      </w:pPr>
      <w:r w:rsidRPr="00610033">
        <w:rPr>
          <w:rFonts w:ascii="Times New Roman" w:hAnsi="Times New Roman" w:cs="Times New Roman"/>
          <w:i/>
          <w:sz w:val="24"/>
          <w:szCs w:val="24"/>
        </w:rPr>
        <w:t>7</w:t>
      </w:r>
      <w:r w:rsidRPr="00610033">
        <w:rPr>
          <w:rFonts w:ascii="Times New Roman" w:hAnsi="Times New Roman" w:cs="Times New Roman"/>
          <w:sz w:val="24"/>
          <w:szCs w:val="24"/>
        </w:rPr>
        <w:t>(2), 71-95.</w:t>
      </w:r>
    </w:p>
    <w:p w14:paraId="748D08E9" w14:textId="77777777" w:rsidR="00FB41AA" w:rsidRPr="00610033" w:rsidRDefault="00FB41AA" w:rsidP="00BA4A2D">
      <w:pPr>
        <w:widowControl w:val="0"/>
        <w:spacing w:after="0" w:line="480" w:lineRule="auto"/>
        <w:rPr>
          <w:rFonts w:ascii="Times New Roman" w:hAnsi="Times New Roman" w:cs="Times New Roman"/>
          <w:sz w:val="24"/>
          <w:szCs w:val="24"/>
        </w:rPr>
      </w:pPr>
      <w:r w:rsidRPr="00610033">
        <w:rPr>
          <w:rFonts w:ascii="Times New Roman" w:hAnsi="Times New Roman" w:cs="Times New Roman"/>
          <w:sz w:val="24"/>
          <w:szCs w:val="24"/>
        </w:rPr>
        <w:t xml:space="preserve">Kennedy, J., Lyons, T., &amp; Quinn, F. (2014). The continuing decline of science and </w:t>
      </w:r>
    </w:p>
    <w:p w14:paraId="619BCCB3" w14:textId="77777777" w:rsidR="00FB41AA" w:rsidRPr="00610033" w:rsidRDefault="00FB41AA" w:rsidP="00BA4A2D">
      <w:pPr>
        <w:widowControl w:val="0"/>
        <w:spacing w:after="0" w:line="480" w:lineRule="auto"/>
        <w:ind w:left="720"/>
        <w:rPr>
          <w:rFonts w:ascii="Times New Roman" w:hAnsi="Times New Roman" w:cs="Times New Roman"/>
          <w:sz w:val="24"/>
          <w:szCs w:val="24"/>
        </w:rPr>
      </w:pPr>
      <w:r w:rsidRPr="00610033">
        <w:rPr>
          <w:rFonts w:ascii="Times New Roman" w:hAnsi="Times New Roman" w:cs="Times New Roman"/>
          <w:sz w:val="24"/>
          <w:szCs w:val="24"/>
        </w:rPr>
        <w:t xml:space="preserve">mathematics enrollments in Australian high schools. </w:t>
      </w:r>
      <w:r w:rsidRPr="00610033">
        <w:rPr>
          <w:rFonts w:ascii="Times New Roman" w:hAnsi="Times New Roman" w:cs="Times New Roman"/>
          <w:i/>
          <w:sz w:val="24"/>
          <w:szCs w:val="24"/>
        </w:rPr>
        <w:t xml:space="preserve">The Journal of the Australian </w:t>
      </w:r>
      <w:r w:rsidRPr="00610033">
        <w:rPr>
          <w:rFonts w:ascii="Times New Roman" w:hAnsi="Times New Roman" w:cs="Times New Roman"/>
          <w:i/>
          <w:sz w:val="24"/>
          <w:szCs w:val="24"/>
        </w:rPr>
        <w:lastRenderedPageBreak/>
        <w:t>Science Teachers Association, 60</w:t>
      </w:r>
      <w:r w:rsidRPr="00610033">
        <w:rPr>
          <w:rFonts w:ascii="Times New Roman" w:hAnsi="Times New Roman" w:cs="Times New Roman"/>
          <w:sz w:val="24"/>
          <w:szCs w:val="24"/>
        </w:rPr>
        <w:t>(2), 34-46.</w:t>
      </w:r>
    </w:p>
    <w:p w14:paraId="47C6374E" w14:textId="59B81BA2" w:rsidR="00676A2D" w:rsidRDefault="00676A2D"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Kiran, D., </w:t>
      </w:r>
      <w:r w:rsidR="001326E0">
        <w:rPr>
          <w:rFonts w:ascii="Times New Roman" w:hAnsi="Times New Roman" w:cs="Times New Roman"/>
          <w:sz w:val="24"/>
          <w:szCs w:val="24"/>
        </w:rPr>
        <w:t xml:space="preserve">&amp; </w:t>
      </w:r>
      <w:r>
        <w:rPr>
          <w:rFonts w:ascii="Times New Roman" w:hAnsi="Times New Roman" w:cs="Times New Roman"/>
          <w:sz w:val="24"/>
          <w:szCs w:val="24"/>
        </w:rPr>
        <w:t xml:space="preserve">Sungur, S. (2012). Middle school students’ science self-efficacy and its sources: </w:t>
      </w:r>
    </w:p>
    <w:p w14:paraId="76224AE3" w14:textId="77777777" w:rsidR="00676A2D" w:rsidRDefault="00676A2D" w:rsidP="00BA4A2D">
      <w:pPr>
        <w:widowControl w:val="0"/>
        <w:spacing w:after="0" w:line="480" w:lineRule="auto"/>
        <w:rPr>
          <w:rFonts w:ascii="Times New Roman" w:hAnsi="Times New Roman" w:cs="Times New Roman"/>
          <w:i/>
          <w:sz w:val="24"/>
          <w:szCs w:val="24"/>
        </w:rPr>
      </w:pPr>
      <w:r>
        <w:rPr>
          <w:rFonts w:ascii="Times New Roman" w:hAnsi="Times New Roman" w:cs="Times New Roman"/>
          <w:sz w:val="24"/>
          <w:szCs w:val="24"/>
        </w:rPr>
        <w:tab/>
        <w:t xml:space="preserve">Examination of gender differences. </w:t>
      </w:r>
      <w:r>
        <w:rPr>
          <w:rFonts w:ascii="Times New Roman" w:hAnsi="Times New Roman" w:cs="Times New Roman"/>
          <w:i/>
          <w:sz w:val="24"/>
          <w:szCs w:val="24"/>
        </w:rPr>
        <w:t xml:space="preserve">Journal of Science Education and Technology, 21, </w:t>
      </w:r>
    </w:p>
    <w:p w14:paraId="38879380" w14:textId="3C94CE35" w:rsidR="00676A2D" w:rsidRPr="00676A2D" w:rsidRDefault="00676A2D" w:rsidP="00BA4A2D">
      <w:pPr>
        <w:widowControl w:val="0"/>
        <w:spacing w:after="0"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619-630.</w:t>
      </w:r>
    </w:p>
    <w:p w14:paraId="2908A6E0" w14:textId="25A7F563" w:rsidR="001326E0" w:rsidRDefault="00FB41AA" w:rsidP="001326E0">
      <w:pPr>
        <w:widowControl w:val="0"/>
        <w:spacing w:after="0" w:line="480" w:lineRule="auto"/>
        <w:rPr>
          <w:rFonts w:ascii="Times New Roman" w:hAnsi="Times New Roman" w:cs="Times New Roman"/>
          <w:sz w:val="24"/>
          <w:szCs w:val="24"/>
        </w:rPr>
      </w:pPr>
      <w:r w:rsidRPr="00610033">
        <w:rPr>
          <w:rFonts w:ascii="Times New Roman" w:hAnsi="Times New Roman" w:cs="Times New Roman"/>
          <w:sz w:val="24"/>
          <w:szCs w:val="24"/>
        </w:rPr>
        <w:t xml:space="preserve">Laefer, D. F. (2009). Gender disparity in engineering as a function of physics enrollment and its </w:t>
      </w:r>
    </w:p>
    <w:p w14:paraId="05C814CF" w14:textId="4D03E22D" w:rsidR="00FB41AA" w:rsidRPr="001513A2" w:rsidRDefault="00FB41AA" w:rsidP="00BA4A2D">
      <w:pPr>
        <w:widowControl w:val="0"/>
        <w:spacing w:after="0" w:line="480" w:lineRule="auto"/>
        <w:ind w:left="720"/>
        <w:rPr>
          <w:rFonts w:ascii="Times New Roman" w:hAnsi="Times New Roman" w:cs="Times New Roman"/>
          <w:sz w:val="24"/>
          <w:szCs w:val="24"/>
        </w:rPr>
      </w:pPr>
      <w:r w:rsidRPr="00610033">
        <w:rPr>
          <w:rFonts w:ascii="Times New Roman" w:hAnsi="Times New Roman" w:cs="Times New Roman"/>
          <w:sz w:val="24"/>
          <w:szCs w:val="24"/>
        </w:rPr>
        <w:t xml:space="preserve">implications for civil engineering. </w:t>
      </w:r>
      <w:r w:rsidRPr="00610033">
        <w:rPr>
          <w:rFonts w:ascii="Times New Roman" w:hAnsi="Times New Roman" w:cs="Times New Roman"/>
          <w:i/>
          <w:sz w:val="24"/>
          <w:szCs w:val="24"/>
        </w:rPr>
        <w:t xml:space="preserve">Journal of Professional Issues in </w:t>
      </w:r>
      <w:r w:rsidRPr="001513A2">
        <w:rPr>
          <w:rFonts w:ascii="Times New Roman" w:hAnsi="Times New Roman" w:cs="Times New Roman"/>
          <w:i/>
          <w:sz w:val="24"/>
          <w:szCs w:val="24"/>
        </w:rPr>
        <w:t>Engineering Education and Practice, 135</w:t>
      </w:r>
      <w:r w:rsidRPr="001513A2">
        <w:rPr>
          <w:rFonts w:ascii="Times New Roman" w:hAnsi="Times New Roman" w:cs="Times New Roman"/>
          <w:sz w:val="24"/>
          <w:szCs w:val="24"/>
        </w:rPr>
        <w:t xml:space="preserve">(3), 95-101. </w:t>
      </w:r>
    </w:p>
    <w:p w14:paraId="32B87EDF" w14:textId="77777777" w:rsidR="00B95D85" w:rsidRDefault="00B95D85" w:rsidP="00BA4A2D">
      <w:pPr>
        <w:widowControl w:val="0"/>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Lai, C., Zhang, W., &amp; Chang, Y. (2020). Differentiated instruction enhances sixth-grade </w:t>
      </w:r>
    </w:p>
    <w:p w14:paraId="56A9FE3F" w14:textId="77777777" w:rsidR="00B95D85" w:rsidRDefault="00B95D85" w:rsidP="00BA4A2D">
      <w:pPr>
        <w:widowControl w:val="0"/>
        <w:spacing w:after="0" w:line="480" w:lineRule="auto"/>
        <w:rPr>
          <w:rFonts w:ascii="Times New Roman" w:hAnsi="Times New Roman" w:cs="Times New Roman"/>
          <w:i/>
          <w:color w:val="000000"/>
          <w:sz w:val="24"/>
          <w:szCs w:val="24"/>
          <w:shd w:val="clear" w:color="auto" w:fill="FFFFFF"/>
        </w:rPr>
      </w:pPr>
      <w:r>
        <w:rPr>
          <w:rFonts w:ascii="Times New Roman" w:hAnsi="Times New Roman" w:cs="Times New Roman"/>
          <w:color w:val="000000"/>
          <w:sz w:val="24"/>
          <w:szCs w:val="24"/>
          <w:shd w:val="clear" w:color="auto" w:fill="FFFFFF"/>
        </w:rPr>
        <w:tab/>
        <w:t xml:space="preserve">students’ mathematics self-efficacy, learning motives, and problem-solving skills. </w:t>
      </w:r>
      <w:r>
        <w:rPr>
          <w:rFonts w:ascii="Times New Roman" w:hAnsi="Times New Roman" w:cs="Times New Roman"/>
          <w:i/>
          <w:color w:val="000000"/>
          <w:sz w:val="24"/>
          <w:szCs w:val="24"/>
          <w:shd w:val="clear" w:color="auto" w:fill="FFFFFF"/>
        </w:rPr>
        <w:t xml:space="preserve">Social </w:t>
      </w:r>
    </w:p>
    <w:p w14:paraId="21B4130F" w14:textId="717F6A53" w:rsidR="00B95D85" w:rsidRPr="00B95D85" w:rsidRDefault="00B95D85" w:rsidP="00BA4A2D">
      <w:pPr>
        <w:widowControl w:val="0"/>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i/>
          <w:color w:val="000000"/>
          <w:sz w:val="24"/>
          <w:szCs w:val="24"/>
          <w:shd w:val="clear" w:color="auto" w:fill="FFFFFF"/>
        </w:rPr>
        <w:tab/>
        <w:t>Behavior and Personality, 48</w:t>
      </w:r>
      <w:r w:rsidRPr="00122958">
        <w:rPr>
          <w:rFonts w:ascii="Times New Roman" w:hAnsi="Times New Roman" w:cs="Times New Roman"/>
          <w:color w:val="000000"/>
          <w:sz w:val="24"/>
          <w:szCs w:val="24"/>
          <w:shd w:val="clear" w:color="auto" w:fill="FFFFFF"/>
        </w:rPr>
        <w:t>(6),</w:t>
      </w:r>
      <w:r>
        <w:rPr>
          <w:rFonts w:ascii="Times New Roman" w:hAnsi="Times New Roman" w:cs="Times New Roman"/>
          <w:color w:val="000000"/>
          <w:sz w:val="24"/>
          <w:szCs w:val="24"/>
          <w:shd w:val="clear" w:color="auto" w:fill="FFFFFF"/>
        </w:rPr>
        <w:t xml:space="preserve"> 1-13.</w:t>
      </w:r>
    </w:p>
    <w:p w14:paraId="67D2ECF0" w14:textId="437CD927" w:rsidR="00FB41AA" w:rsidRDefault="00FB41AA" w:rsidP="00BA4A2D">
      <w:pPr>
        <w:widowControl w:val="0"/>
        <w:spacing w:after="0" w:line="480" w:lineRule="auto"/>
        <w:rPr>
          <w:rFonts w:ascii="Times New Roman" w:hAnsi="Times New Roman" w:cs="Times New Roman"/>
          <w:color w:val="000000"/>
          <w:sz w:val="24"/>
          <w:szCs w:val="24"/>
          <w:shd w:val="clear" w:color="auto" w:fill="FFFFFF"/>
        </w:rPr>
      </w:pPr>
      <w:r w:rsidRPr="001513A2">
        <w:rPr>
          <w:rFonts w:ascii="Times New Roman" w:hAnsi="Times New Roman" w:cs="Times New Roman"/>
          <w:color w:val="000000"/>
          <w:sz w:val="24"/>
          <w:szCs w:val="24"/>
          <w:shd w:val="clear" w:color="auto" w:fill="FFFFFF"/>
        </w:rPr>
        <w:t>Lent, R. W., Brown, S. D.</w:t>
      </w:r>
      <w:r>
        <w:rPr>
          <w:rFonts w:ascii="Times New Roman" w:hAnsi="Times New Roman" w:cs="Times New Roman"/>
          <w:color w:val="000000"/>
          <w:sz w:val="24"/>
          <w:szCs w:val="24"/>
          <w:shd w:val="clear" w:color="auto" w:fill="FFFFFF"/>
        </w:rPr>
        <w:t>, &amp; Larkin, K. C. (1986). Self-efficacy in the prediction of a</w:t>
      </w:r>
      <w:r w:rsidRPr="001513A2">
        <w:rPr>
          <w:rFonts w:ascii="Times New Roman" w:hAnsi="Times New Roman" w:cs="Times New Roman"/>
          <w:color w:val="000000"/>
          <w:sz w:val="24"/>
          <w:szCs w:val="24"/>
          <w:shd w:val="clear" w:color="auto" w:fill="FFFFFF"/>
        </w:rPr>
        <w:t xml:space="preserve">cademic </w:t>
      </w:r>
    </w:p>
    <w:p w14:paraId="21D8A5AE" w14:textId="77777777" w:rsidR="00FB41AA" w:rsidRPr="001513A2" w:rsidRDefault="00FB41AA" w:rsidP="00BA4A2D">
      <w:pPr>
        <w:widowControl w:val="0"/>
        <w:spacing w:after="0" w:line="480" w:lineRule="auto"/>
        <w:ind w:left="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performance and perceived career o</w:t>
      </w:r>
      <w:r w:rsidRPr="001513A2">
        <w:rPr>
          <w:rFonts w:ascii="Times New Roman" w:hAnsi="Times New Roman" w:cs="Times New Roman"/>
          <w:color w:val="000000"/>
          <w:sz w:val="24"/>
          <w:szCs w:val="24"/>
          <w:shd w:val="clear" w:color="auto" w:fill="FFFFFF"/>
        </w:rPr>
        <w:t xml:space="preserve">ptions. </w:t>
      </w:r>
      <w:r w:rsidRPr="00BA4A2D">
        <w:rPr>
          <w:rFonts w:ascii="Times New Roman" w:hAnsi="Times New Roman" w:cs="Times New Roman"/>
          <w:i/>
          <w:iCs/>
          <w:color w:val="000000"/>
          <w:sz w:val="24"/>
          <w:szCs w:val="24"/>
          <w:shd w:val="clear" w:color="auto" w:fill="FFFFFF"/>
        </w:rPr>
        <w:t>J</w:t>
      </w:r>
      <w:r w:rsidRPr="001513A2">
        <w:rPr>
          <w:rFonts w:ascii="Times New Roman" w:hAnsi="Times New Roman" w:cs="Times New Roman"/>
          <w:i/>
          <w:iCs/>
          <w:color w:val="000000"/>
          <w:sz w:val="24"/>
          <w:szCs w:val="24"/>
          <w:bdr w:val="none" w:sz="0" w:space="0" w:color="auto" w:frame="1"/>
          <w:shd w:val="clear" w:color="auto" w:fill="FFFFFF"/>
        </w:rPr>
        <w:t>ournal of Counseling Psychology,</w:t>
      </w:r>
      <w:r w:rsidRPr="001513A2">
        <w:rPr>
          <w:rFonts w:ascii="Times New Roman" w:hAnsi="Times New Roman" w:cs="Times New Roman"/>
          <w:color w:val="000000"/>
          <w:sz w:val="24"/>
          <w:szCs w:val="24"/>
          <w:shd w:val="clear" w:color="auto" w:fill="FFFFFF"/>
        </w:rPr>
        <w:t> </w:t>
      </w:r>
      <w:r w:rsidRPr="00BA4A2D">
        <w:rPr>
          <w:rFonts w:ascii="Times New Roman" w:hAnsi="Times New Roman" w:cs="Times New Roman"/>
          <w:i/>
          <w:iCs/>
          <w:color w:val="000000"/>
          <w:sz w:val="24"/>
          <w:szCs w:val="24"/>
          <w:shd w:val="clear" w:color="auto" w:fill="FFFFFF"/>
        </w:rPr>
        <w:t>33</w:t>
      </w:r>
      <w:r w:rsidRPr="001513A2">
        <w:rPr>
          <w:rFonts w:ascii="Times New Roman" w:hAnsi="Times New Roman" w:cs="Times New Roman"/>
          <w:color w:val="000000"/>
          <w:sz w:val="24"/>
          <w:szCs w:val="24"/>
          <w:shd w:val="clear" w:color="auto" w:fill="FFFFFF"/>
        </w:rPr>
        <w:t>(3), 265-269.</w:t>
      </w:r>
    </w:p>
    <w:p w14:paraId="5793E9A1" w14:textId="0194383B" w:rsidR="001326E0" w:rsidRDefault="00FB41AA" w:rsidP="000943B8">
      <w:pPr>
        <w:widowControl w:val="0"/>
        <w:shd w:val="clear" w:color="auto" w:fill="FFFFFF"/>
        <w:spacing w:after="0" w:line="480" w:lineRule="auto"/>
        <w:rPr>
          <w:rFonts w:ascii="Times New Roman" w:eastAsia="Times New Roman" w:hAnsi="Times New Roman" w:cs="Times New Roman"/>
          <w:iCs/>
          <w:color w:val="000000"/>
          <w:sz w:val="24"/>
          <w:szCs w:val="24"/>
        </w:rPr>
      </w:pPr>
      <w:r w:rsidRPr="00DE1D76">
        <w:rPr>
          <w:rFonts w:ascii="Times New Roman" w:eastAsia="Times New Roman" w:hAnsi="Times New Roman" w:cs="Times New Roman"/>
          <w:color w:val="000000"/>
          <w:sz w:val="24"/>
          <w:szCs w:val="24"/>
        </w:rPr>
        <w:t>Mertler, C. A</w:t>
      </w:r>
      <w:r w:rsidR="00D91A46">
        <w:rPr>
          <w:rFonts w:ascii="Times New Roman" w:eastAsia="Times New Roman" w:hAnsi="Times New Roman" w:cs="Times New Roman"/>
          <w:color w:val="000000"/>
          <w:sz w:val="24"/>
          <w:szCs w:val="24"/>
        </w:rPr>
        <w:t>., &amp;</w:t>
      </w:r>
      <w:r w:rsidRPr="00DE1D76">
        <w:rPr>
          <w:rFonts w:ascii="Times New Roman" w:eastAsia="Times New Roman" w:hAnsi="Times New Roman" w:cs="Times New Roman"/>
          <w:color w:val="000000"/>
          <w:sz w:val="24"/>
          <w:szCs w:val="24"/>
        </w:rPr>
        <w:t xml:space="preserve"> Vannatta, R. A. (2013). </w:t>
      </w:r>
      <w:r w:rsidRPr="00DE1D76">
        <w:rPr>
          <w:rFonts w:ascii="Times New Roman" w:eastAsia="Times New Roman" w:hAnsi="Times New Roman" w:cs="Times New Roman"/>
          <w:i/>
          <w:color w:val="000000"/>
          <w:sz w:val="24"/>
          <w:szCs w:val="24"/>
        </w:rPr>
        <w:t xml:space="preserve">Advanced and multivariate statistical methods </w:t>
      </w:r>
      <w:r w:rsidRPr="00BA4A2D">
        <w:rPr>
          <w:rFonts w:ascii="Times New Roman" w:eastAsia="Times New Roman" w:hAnsi="Times New Roman" w:cs="Times New Roman"/>
          <w:iCs/>
          <w:color w:val="000000"/>
          <w:sz w:val="24"/>
          <w:szCs w:val="24"/>
        </w:rPr>
        <w:t>(5</w:t>
      </w:r>
      <w:r w:rsidRPr="00BA4A2D">
        <w:rPr>
          <w:rFonts w:ascii="Times New Roman" w:eastAsia="Times New Roman" w:hAnsi="Times New Roman" w:cs="Times New Roman"/>
          <w:iCs/>
          <w:color w:val="000000"/>
          <w:sz w:val="24"/>
          <w:szCs w:val="24"/>
          <w:vertAlign w:val="superscript"/>
        </w:rPr>
        <w:t>th</w:t>
      </w:r>
      <w:r w:rsidRPr="00BA4A2D">
        <w:rPr>
          <w:rFonts w:ascii="Times New Roman" w:eastAsia="Times New Roman" w:hAnsi="Times New Roman" w:cs="Times New Roman"/>
          <w:iCs/>
          <w:color w:val="000000"/>
          <w:sz w:val="24"/>
          <w:szCs w:val="24"/>
        </w:rPr>
        <w:t xml:space="preserve"> </w:t>
      </w:r>
    </w:p>
    <w:p w14:paraId="33F20AD0" w14:textId="2E3DEA7A" w:rsidR="00FB41AA" w:rsidRPr="00754FE0" w:rsidRDefault="00FB41AA" w:rsidP="00BA4A2D">
      <w:pPr>
        <w:widowControl w:val="0"/>
        <w:shd w:val="clear" w:color="auto" w:fill="FFFFFF"/>
        <w:spacing w:after="0" w:line="480" w:lineRule="auto"/>
        <w:ind w:firstLine="720"/>
        <w:rPr>
          <w:rFonts w:ascii="Times New Roman" w:hAnsi="Times New Roman" w:cs="Times New Roman"/>
          <w:sz w:val="24"/>
          <w:szCs w:val="24"/>
        </w:rPr>
      </w:pPr>
      <w:r w:rsidRPr="00BA4A2D">
        <w:rPr>
          <w:rFonts w:ascii="Times New Roman" w:eastAsia="Times New Roman" w:hAnsi="Times New Roman" w:cs="Times New Roman"/>
          <w:iCs/>
          <w:color w:val="000000"/>
          <w:sz w:val="24"/>
          <w:szCs w:val="24"/>
        </w:rPr>
        <w:t>ed.).</w:t>
      </w:r>
      <w:r w:rsidRPr="00754FE0">
        <w:rPr>
          <w:rFonts w:ascii="Times New Roman" w:eastAsia="Times New Roman" w:hAnsi="Times New Roman" w:cs="Times New Roman"/>
          <w:i/>
          <w:color w:val="000000"/>
          <w:sz w:val="24"/>
          <w:szCs w:val="24"/>
        </w:rPr>
        <w:t xml:space="preserve"> </w:t>
      </w:r>
      <w:r w:rsidRPr="00754FE0">
        <w:rPr>
          <w:rFonts w:ascii="Times New Roman" w:eastAsia="Times New Roman" w:hAnsi="Times New Roman" w:cs="Times New Roman"/>
          <w:color w:val="000000"/>
          <w:sz w:val="24"/>
          <w:szCs w:val="24"/>
        </w:rPr>
        <w:t>Pyrczak Publishing.</w:t>
      </w:r>
    </w:p>
    <w:p w14:paraId="72DC70BE" w14:textId="0FE803CF" w:rsidR="00FB41AA" w:rsidRPr="00754FE0" w:rsidRDefault="00FB41AA" w:rsidP="00BA4A2D">
      <w:pPr>
        <w:widowControl w:val="0"/>
        <w:spacing w:after="0" w:line="480" w:lineRule="auto"/>
        <w:rPr>
          <w:rFonts w:ascii="Times New Roman" w:hAnsi="Times New Roman" w:cs="Times New Roman"/>
          <w:sz w:val="24"/>
          <w:szCs w:val="24"/>
        </w:rPr>
      </w:pPr>
      <w:r w:rsidRPr="00754FE0">
        <w:rPr>
          <w:rFonts w:ascii="Times New Roman" w:hAnsi="Times New Roman" w:cs="Times New Roman"/>
          <w:sz w:val="24"/>
          <w:szCs w:val="24"/>
        </w:rPr>
        <w:t>Moore, T. S., Meiksins, P</w:t>
      </w:r>
      <w:r w:rsidR="00D91A46">
        <w:rPr>
          <w:rFonts w:ascii="Times New Roman" w:hAnsi="Times New Roman" w:cs="Times New Roman"/>
          <w:sz w:val="24"/>
          <w:szCs w:val="24"/>
        </w:rPr>
        <w:t>., &amp;</w:t>
      </w:r>
      <w:r w:rsidRPr="00754FE0">
        <w:rPr>
          <w:rFonts w:ascii="Times New Roman" w:hAnsi="Times New Roman" w:cs="Times New Roman"/>
          <w:sz w:val="24"/>
          <w:szCs w:val="24"/>
        </w:rPr>
        <w:t xml:space="preserve"> Root, K. (2013). Leaving science: Gender differences in </w:t>
      </w:r>
    </w:p>
    <w:p w14:paraId="0DDE23AF" w14:textId="77777777" w:rsidR="00FB41AA" w:rsidRPr="00754FE0" w:rsidRDefault="00FB41AA" w:rsidP="00BA4A2D">
      <w:pPr>
        <w:widowControl w:val="0"/>
        <w:spacing w:after="0" w:line="480" w:lineRule="auto"/>
        <w:rPr>
          <w:rFonts w:ascii="Times New Roman" w:hAnsi="Times New Roman" w:cs="Times New Roman"/>
          <w:sz w:val="24"/>
          <w:szCs w:val="24"/>
        </w:rPr>
      </w:pPr>
      <w:r w:rsidRPr="00754FE0">
        <w:rPr>
          <w:rFonts w:ascii="Times New Roman" w:hAnsi="Times New Roman" w:cs="Times New Roman"/>
          <w:sz w:val="24"/>
          <w:szCs w:val="24"/>
        </w:rPr>
        <w:tab/>
        <w:t xml:space="preserve">career continuity following a job loss. </w:t>
      </w:r>
      <w:r w:rsidRPr="00754FE0">
        <w:rPr>
          <w:rFonts w:ascii="Times New Roman" w:hAnsi="Times New Roman" w:cs="Times New Roman"/>
          <w:i/>
          <w:sz w:val="24"/>
          <w:szCs w:val="24"/>
        </w:rPr>
        <w:t>Sociological Forum, 28</w:t>
      </w:r>
      <w:r w:rsidRPr="00754FE0">
        <w:rPr>
          <w:rFonts w:ascii="Times New Roman" w:hAnsi="Times New Roman" w:cs="Times New Roman"/>
          <w:sz w:val="24"/>
          <w:szCs w:val="24"/>
        </w:rPr>
        <w:t>(1), 109-134.</w:t>
      </w:r>
    </w:p>
    <w:p w14:paraId="1E0BB164" w14:textId="52E6D3F2" w:rsidR="00FB41AA" w:rsidRPr="00610033" w:rsidRDefault="00FB41AA" w:rsidP="00BA4A2D">
      <w:pPr>
        <w:widowControl w:val="0"/>
        <w:spacing w:after="0" w:line="480" w:lineRule="auto"/>
        <w:rPr>
          <w:rFonts w:ascii="Times New Roman" w:hAnsi="Times New Roman" w:cs="Times New Roman"/>
          <w:sz w:val="24"/>
          <w:szCs w:val="24"/>
        </w:rPr>
      </w:pPr>
      <w:r w:rsidRPr="00610033">
        <w:rPr>
          <w:rFonts w:ascii="Times New Roman" w:hAnsi="Times New Roman" w:cs="Times New Roman"/>
          <w:sz w:val="24"/>
          <w:szCs w:val="24"/>
        </w:rPr>
        <w:t>Mujtaba, T</w:t>
      </w:r>
      <w:r w:rsidR="00D91A46">
        <w:rPr>
          <w:rFonts w:ascii="Times New Roman" w:hAnsi="Times New Roman" w:cs="Times New Roman"/>
          <w:sz w:val="24"/>
          <w:szCs w:val="24"/>
        </w:rPr>
        <w:t>., &amp;</w:t>
      </w:r>
      <w:r w:rsidRPr="00610033">
        <w:rPr>
          <w:rFonts w:ascii="Times New Roman" w:hAnsi="Times New Roman" w:cs="Times New Roman"/>
          <w:sz w:val="24"/>
          <w:szCs w:val="24"/>
        </w:rPr>
        <w:t xml:space="preserve"> Reiss, M. (2016). Girls in the UK have similar reasons to boys for </w:t>
      </w:r>
    </w:p>
    <w:p w14:paraId="41A10160" w14:textId="77777777" w:rsidR="00FB41AA" w:rsidRPr="00610033" w:rsidRDefault="00FB41AA" w:rsidP="00BA4A2D">
      <w:pPr>
        <w:widowControl w:val="0"/>
        <w:spacing w:after="0" w:line="480" w:lineRule="auto"/>
        <w:ind w:left="720"/>
        <w:rPr>
          <w:rFonts w:ascii="Times New Roman" w:hAnsi="Times New Roman" w:cs="Times New Roman"/>
          <w:sz w:val="24"/>
          <w:szCs w:val="24"/>
        </w:rPr>
      </w:pPr>
      <w:r w:rsidRPr="00610033">
        <w:rPr>
          <w:rFonts w:ascii="Times New Roman" w:hAnsi="Times New Roman" w:cs="Times New Roman"/>
          <w:sz w:val="24"/>
          <w:szCs w:val="24"/>
        </w:rPr>
        <w:t xml:space="preserve">intending to study mathematics post-16 thanks to the support and encouragement they receive. </w:t>
      </w:r>
      <w:r w:rsidRPr="00610033">
        <w:rPr>
          <w:rFonts w:ascii="Times New Roman" w:hAnsi="Times New Roman" w:cs="Times New Roman"/>
          <w:i/>
          <w:sz w:val="24"/>
          <w:szCs w:val="24"/>
        </w:rPr>
        <w:t>London Review of Education, 14</w:t>
      </w:r>
      <w:r w:rsidRPr="00610033">
        <w:rPr>
          <w:rFonts w:ascii="Times New Roman" w:hAnsi="Times New Roman" w:cs="Times New Roman"/>
          <w:sz w:val="24"/>
          <w:szCs w:val="24"/>
        </w:rPr>
        <w:t xml:space="preserve">(2), 66-82. </w:t>
      </w:r>
    </w:p>
    <w:p w14:paraId="58BE949E" w14:textId="50C462BD" w:rsidR="00FB41AA" w:rsidRPr="00610033" w:rsidRDefault="00FB41AA" w:rsidP="00BA4A2D">
      <w:pPr>
        <w:widowControl w:val="0"/>
        <w:spacing w:after="0" w:line="480" w:lineRule="auto"/>
        <w:rPr>
          <w:rFonts w:ascii="Times New Roman" w:hAnsi="Times New Roman" w:cs="Times New Roman"/>
          <w:i/>
          <w:sz w:val="24"/>
          <w:szCs w:val="24"/>
        </w:rPr>
      </w:pPr>
      <w:r w:rsidRPr="00610033">
        <w:rPr>
          <w:rFonts w:ascii="Times New Roman" w:hAnsi="Times New Roman" w:cs="Times New Roman"/>
          <w:sz w:val="24"/>
          <w:szCs w:val="24"/>
        </w:rPr>
        <w:t>National Center for Educational Statistics</w:t>
      </w:r>
      <w:r w:rsidR="001326E0">
        <w:rPr>
          <w:rFonts w:ascii="Times New Roman" w:hAnsi="Times New Roman" w:cs="Times New Roman"/>
          <w:sz w:val="24"/>
          <w:szCs w:val="24"/>
        </w:rPr>
        <w:t>.</w:t>
      </w:r>
      <w:r w:rsidRPr="00610033">
        <w:rPr>
          <w:rFonts w:ascii="Times New Roman" w:hAnsi="Times New Roman" w:cs="Times New Roman"/>
          <w:sz w:val="24"/>
          <w:szCs w:val="24"/>
        </w:rPr>
        <w:t xml:space="preserve"> (2017</w:t>
      </w:r>
      <w:r w:rsidRPr="00610033">
        <w:rPr>
          <w:rFonts w:ascii="Times New Roman" w:hAnsi="Times New Roman" w:cs="Times New Roman"/>
          <w:i/>
          <w:sz w:val="24"/>
          <w:szCs w:val="24"/>
        </w:rPr>
        <w:t xml:space="preserve">). Beginning college students who </w:t>
      </w:r>
    </w:p>
    <w:p w14:paraId="22585BF3" w14:textId="3520E87A" w:rsidR="00FB41AA" w:rsidRPr="00610033" w:rsidRDefault="00FB41AA" w:rsidP="00BA4A2D">
      <w:pPr>
        <w:widowControl w:val="0"/>
        <w:spacing w:after="0" w:line="480" w:lineRule="auto"/>
        <w:ind w:left="720"/>
        <w:rPr>
          <w:rFonts w:ascii="Times New Roman" w:hAnsi="Times New Roman" w:cs="Times New Roman"/>
          <w:sz w:val="24"/>
          <w:szCs w:val="24"/>
        </w:rPr>
      </w:pPr>
      <w:r w:rsidRPr="00610033">
        <w:rPr>
          <w:rFonts w:ascii="Times New Roman" w:hAnsi="Times New Roman" w:cs="Times New Roman"/>
          <w:i/>
          <w:sz w:val="24"/>
          <w:szCs w:val="24"/>
        </w:rPr>
        <w:t>change their majors within 3 years of enrollment.</w:t>
      </w:r>
      <w:r w:rsidR="001326E0">
        <w:rPr>
          <w:rFonts w:ascii="Times New Roman" w:hAnsi="Times New Roman" w:cs="Times New Roman"/>
          <w:sz w:val="24"/>
          <w:szCs w:val="24"/>
        </w:rPr>
        <w:t xml:space="preserve"> h</w:t>
      </w:r>
      <w:r w:rsidRPr="00610033">
        <w:rPr>
          <w:rFonts w:ascii="Times New Roman" w:hAnsi="Times New Roman" w:cs="Times New Roman"/>
          <w:sz w:val="24"/>
          <w:szCs w:val="24"/>
        </w:rPr>
        <w:t xml:space="preserve">ttps://nces.ed.gov/pubs2018/2018434.pdf </w:t>
      </w:r>
    </w:p>
    <w:p w14:paraId="625A98CF" w14:textId="77777777" w:rsidR="00CA3D49" w:rsidRDefault="00CA3D49" w:rsidP="00BA4A2D">
      <w:pPr>
        <w:widowControl w:val="0"/>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sz w:val="24"/>
          <w:szCs w:val="24"/>
        </w:rPr>
        <w:lastRenderedPageBreak/>
        <w:t xml:space="preserve">National Center for Educational Statistics. (2022). </w:t>
      </w:r>
      <w:r>
        <w:rPr>
          <w:rFonts w:ascii="Times New Roman" w:hAnsi="Times New Roman" w:cs="Times New Roman"/>
          <w:i/>
          <w:sz w:val="24"/>
          <w:szCs w:val="24"/>
        </w:rPr>
        <w:t xml:space="preserve">High school mathematics and science course </w:t>
      </w:r>
    </w:p>
    <w:p w14:paraId="48A51A1C" w14:textId="4A834DB0" w:rsidR="00CA3D49" w:rsidRPr="002C03FA" w:rsidRDefault="00CA3D49" w:rsidP="00BA4A2D">
      <w:pPr>
        <w:widowControl w:val="0"/>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i/>
          <w:sz w:val="24"/>
          <w:szCs w:val="24"/>
        </w:rPr>
        <w:tab/>
        <w:t xml:space="preserve">completion. </w:t>
      </w:r>
      <w:r>
        <w:rPr>
          <w:rFonts w:ascii="Times New Roman" w:hAnsi="Times New Roman" w:cs="Times New Roman"/>
          <w:sz w:val="24"/>
          <w:szCs w:val="24"/>
        </w:rPr>
        <w:t>https://nces.ed.gov/programs/coe/indicator/sod.</w:t>
      </w:r>
    </w:p>
    <w:p w14:paraId="28910326" w14:textId="2CFC4508" w:rsidR="001326E0" w:rsidRDefault="00FB41AA" w:rsidP="000943B8">
      <w:pPr>
        <w:widowControl w:val="0"/>
        <w:autoSpaceDE w:val="0"/>
        <w:autoSpaceDN w:val="0"/>
        <w:adjustRightInd w:val="0"/>
        <w:spacing w:after="0" w:line="480" w:lineRule="auto"/>
        <w:rPr>
          <w:rFonts w:ascii="Times New Roman" w:hAnsi="Times New Roman" w:cs="Times New Roman"/>
          <w:sz w:val="24"/>
          <w:szCs w:val="24"/>
        </w:rPr>
      </w:pPr>
      <w:r w:rsidRPr="00A12346">
        <w:rPr>
          <w:rFonts w:ascii="Times New Roman" w:hAnsi="Times New Roman" w:cs="Times New Roman"/>
          <w:sz w:val="24"/>
          <w:szCs w:val="24"/>
        </w:rPr>
        <w:t xml:space="preserve">National Science </w:t>
      </w:r>
      <w:r>
        <w:rPr>
          <w:rFonts w:ascii="Times New Roman" w:hAnsi="Times New Roman" w:cs="Times New Roman"/>
          <w:sz w:val="24"/>
          <w:szCs w:val="24"/>
        </w:rPr>
        <w:t>Board</w:t>
      </w:r>
      <w:r w:rsidRPr="00A12346">
        <w:rPr>
          <w:rFonts w:ascii="Times New Roman" w:hAnsi="Times New Roman" w:cs="Times New Roman"/>
          <w:sz w:val="24"/>
          <w:szCs w:val="24"/>
        </w:rPr>
        <w:t xml:space="preserve">. </w:t>
      </w:r>
      <w:r w:rsidR="001326E0">
        <w:rPr>
          <w:rFonts w:ascii="Times New Roman" w:hAnsi="Times New Roman" w:cs="Times New Roman"/>
          <w:sz w:val="24"/>
          <w:szCs w:val="24"/>
        </w:rPr>
        <w:t>(</w:t>
      </w:r>
      <w:r w:rsidRPr="00A12346">
        <w:rPr>
          <w:rFonts w:ascii="Times New Roman" w:hAnsi="Times New Roman" w:cs="Times New Roman"/>
          <w:sz w:val="24"/>
          <w:szCs w:val="24"/>
        </w:rPr>
        <w:t>201</w:t>
      </w:r>
      <w:r w:rsidR="00635C7E">
        <w:rPr>
          <w:rFonts w:ascii="Times New Roman" w:hAnsi="Times New Roman" w:cs="Times New Roman"/>
          <w:sz w:val="24"/>
          <w:szCs w:val="24"/>
        </w:rPr>
        <w:t>9</w:t>
      </w:r>
      <w:r w:rsidR="001326E0">
        <w:rPr>
          <w:rFonts w:ascii="Times New Roman" w:hAnsi="Times New Roman" w:cs="Times New Roman"/>
          <w:sz w:val="24"/>
          <w:szCs w:val="24"/>
        </w:rPr>
        <w:t>)</w:t>
      </w:r>
      <w:r w:rsidRPr="00A12346">
        <w:rPr>
          <w:rFonts w:ascii="Times New Roman" w:hAnsi="Times New Roman" w:cs="Times New Roman"/>
          <w:sz w:val="24"/>
          <w:szCs w:val="24"/>
        </w:rPr>
        <w:t xml:space="preserve">. </w:t>
      </w:r>
      <w:r w:rsidRPr="00A12346">
        <w:rPr>
          <w:rFonts w:ascii="Times New Roman" w:hAnsi="Times New Roman" w:cs="Times New Roman"/>
          <w:i/>
          <w:iCs/>
          <w:sz w:val="24"/>
          <w:szCs w:val="24"/>
        </w:rPr>
        <w:t xml:space="preserve">Science and </w:t>
      </w:r>
      <w:r w:rsidR="001326E0">
        <w:rPr>
          <w:rFonts w:ascii="Times New Roman" w:hAnsi="Times New Roman" w:cs="Times New Roman"/>
          <w:i/>
          <w:iCs/>
          <w:sz w:val="24"/>
          <w:szCs w:val="24"/>
        </w:rPr>
        <w:t>e</w:t>
      </w:r>
      <w:r w:rsidRPr="00A12346">
        <w:rPr>
          <w:rFonts w:ascii="Times New Roman" w:hAnsi="Times New Roman" w:cs="Times New Roman"/>
          <w:i/>
          <w:iCs/>
          <w:sz w:val="24"/>
          <w:szCs w:val="24"/>
        </w:rPr>
        <w:t xml:space="preserve">ngineering </w:t>
      </w:r>
      <w:r w:rsidR="001326E0">
        <w:rPr>
          <w:rFonts w:ascii="Times New Roman" w:hAnsi="Times New Roman" w:cs="Times New Roman"/>
          <w:i/>
          <w:iCs/>
          <w:sz w:val="24"/>
          <w:szCs w:val="24"/>
        </w:rPr>
        <w:t>i</w:t>
      </w:r>
      <w:r w:rsidRPr="00A12346">
        <w:rPr>
          <w:rFonts w:ascii="Times New Roman" w:hAnsi="Times New Roman" w:cs="Times New Roman"/>
          <w:i/>
          <w:iCs/>
          <w:sz w:val="24"/>
          <w:szCs w:val="24"/>
        </w:rPr>
        <w:t>ndicators 201</w:t>
      </w:r>
      <w:r w:rsidR="00635C7E">
        <w:rPr>
          <w:rFonts w:ascii="Times New Roman" w:hAnsi="Times New Roman" w:cs="Times New Roman"/>
          <w:i/>
          <w:iCs/>
          <w:sz w:val="24"/>
          <w:szCs w:val="24"/>
        </w:rPr>
        <w:t>9</w:t>
      </w:r>
      <w:r w:rsidRPr="00A12346">
        <w:rPr>
          <w:rFonts w:ascii="Times New Roman" w:hAnsi="Times New Roman" w:cs="Times New Roman"/>
          <w:sz w:val="24"/>
          <w:szCs w:val="24"/>
        </w:rPr>
        <w:t>. National</w:t>
      </w:r>
      <w:r>
        <w:rPr>
          <w:rFonts w:ascii="Times New Roman" w:hAnsi="Times New Roman" w:cs="Times New Roman"/>
          <w:sz w:val="24"/>
          <w:szCs w:val="24"/>
        </w:rPr>
        <w:t xml:space="preserve"> </w:t>
      </w:r>
      <w:r w:rsidRPr="00A12346">
        <w:rPr>
          <w:rFonts w:ascii="Times New Roman" w:hAnsi="Times New Roman" w:cs="Times New Roman"/>
          <w:sz w:val="24"/>
          <w:szCs w:val="24"/>
        </w:rPr>
        <w:t xml:space="preserve">Science </w:t>
      </w:r>
    </w:p>
    <w:p w14:paraId="5F8CE662" w14:textId="6097547C" w:rsidR="00FB41AA" w:rsidRPr="00A12346" w:rsidRDefault="00FB41AA" w:rsidP="00BA4A2D">
      <w:pPr>
        <w:widowControl w:val="0"/>
        <w:autoSpaceDE w:val="0"/>
        <w:autoSpaceDN w:val="0"/>
        <w:adjustRightInd w:val="0"/>
        <w:spacing w:after="0" w:line="480" w:lineRule="auto"/>
        <w:ind w:firstLine="720"/>
        <w:rPr>
          <w:rFonts w:ascii="Times New Roman" w:hAnsi="Times New Roman" w:cs="Times New Roman"/>
          <w:sz w:val="24"/>
          <w:szCs w:val="24"/>
        </w:rPr>
      </w:pPr>
      <w:r w:rsidRPr="00A12346">
        <w:rPr>
          <w:rFonts w:ascii="Times New Roman" w:hAnsi="Times New Roman" w:cs="Times New Roman"/>
          <w:sz w:val="24"/>
          <w:szCs w:val="24"/>
        </w:rPr>
        <w:t xml:space="preserve">Foundation (NSB </w:t>
      </w:r>
      <w:r w:rsidR="00635C7E">
        <w:rPr>
          <w:rFonts w:ascii="Times New Roman" w:hAnsi="Times New Roman" w:cs="Times New Roman"/>
          <w:sz w:val="24"/>
          <w:szCs w:val="24"/>
        </w:rPr>
        <w:t>2019</w:t>
      </w:r>
      <w:r w:rsidRPr="00A12346">
        <w:rPr>
          <w:rFonts w:ascii="Times New Roman" w:hAnsi="Times New Roman" w:cs="Times New Roman"/>
          <w:sz w:val="24"/>
          <w:szCs w:val="24"/>
        </w:rPr>
        <w:t>-</w:t>
      </w:r>
      <w:r w:rsidR="00635C7E">
        <w:rPr>
          <w:rFonts w:ascii="Times New Roman" w:hAnsi="Times New Roman" w:cs="Times New Roman"/>
          <w:sz w:val="24"/>
          <w:szCs w:val="24"/>
        </w:rPr>
        <w:t>6</w:t>
      </w:r>
      <w:r w:rsidRPr="00A12346">
        <w:rPr>
          <w:rFonts w:ascii="Times New Roman" w:hAnsi="Times New Roman" w:cs="Times New Roman"/>
          <w:sz w:val="24"/>
          <w:szCs w:val="24"/>
        </w:rPr>
        <w:t>).</w:t>
      </w:r>
    </w:p>
    <w:p w14:paraId="5189079D" w14:textId="1CD51C30" w:rsidR="002F085B" w:rsidRDefault="002F085B" w:rsidP="00BA4A2D">
      <w:pPr>
        <w:widowControl w:val="0"/>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National Science Board. </w:t>
      </w:r>
      <w:r w:rsidR="001326E0">
        <w:rPr>
          <w:rFonts w:ascii="Times New Roman" w:hAnsi="Times New Roman" w:cs="Times New Roman"/>
          <w:sz w:val="24"/>
          <w:szCs w:val="24"/>
        </w:rPr>
        <w:t>(</w:t>
      </w:r>
      <w:r>
        <w:rPr>
          <w:rFonts w:ascii="Times New Roman" w:hAnsi="Times New Roman" w:cs="Times New Roman"/>
          <w:sz w:val="24"/>
          <w:szCs w:val="24"/>
        </w:rPr>
        <w:t>2020</w:t>
      </w:r>
      <w:r w:rsidR="001326E0">
        <w:rPr>
          <w:rFonts w:ascii="Times New Roman" w:hAnsi="Times New Roman" w:cs="Times New Roman"/>
          <w:sz w:val="24"/>
          <w:szCs w:val="24"/>
        </w:rPr>
        <w:t>)</w:t>
      </w:r>
      <w:r>
        <w:rPr>
          <w:rFonts w:ascii="Times New Roman" w:hAnsi="Times New Roman" w:cs="Times New Roman"/>
          <w:sz w:val="24"/>
          <w:szCs w:val="24"/>
        </w:rPr>
        <w:t xml:space="preserve">. </w:t>
      </w:r>
      <w:r w:rsidRPr="002F085B">
        <w:rPr>
          <w:rFonts w:ascii="Times New Roman" w:hAnsi="Times New Roman" w:cs="Times New Roman"/>
          <w:i/>
          <w:sz w:val="24"/>
          <w:szCs w:val="24"/>
        </w:rPr>
        <w:t>Science and Engineering Indicators 2020: The state of U</w:t>
      </w:r>
      <w:r w:rsidR="001326E0">
        <w:rPr>
          <w:rFonts w:ascii="Times New Roman" w:hAnsi="Times New Roman" w:cs="Times New Roman"/>
          <w:i/>
          <w:sz w:val="24"/>
          <w:szCs w:val="24"/>
        </w:rPr>
        <w:t>.</w:t>
      </w:r>
      <w:r w:rsidRPr="002F085B">
        <w:rPr>
          <w:rFonts w:ascii="Times New Roman" w:hAnsi="Times New Roman" w:cs="Times New Roman"/>
          <w:i/>
          <w:sz w:val="24"/>
          <w:szCs w:val="24"/>
        </w:rPr>
        <w:t>S</w:t>
      </w:r>
      <w:r w:rsidR="001326E0">
        <w:rPr>
          <w:rFonts w:ascii="Times New Roman" w:hAnsi="Times New Roman" w:cs="Times New Roman"/>
          <w:i/>
          <w:sz w:val="24"/>
          <w:szCs w:val="24"/>
        </w:rPr>
        <w:t>.</w:t>
      </w:r>
      <w:r w:rsidRPr="002F085B">
        <w:rPr>
          <w:rFonts w:ascii="Times New Roman" w:hAnsi="Times New Roman" w:cs="Times New Roman"/>
          <w:i/>
          <w:sz w:val="24"/>
          <w:szCs w:val="24"/>
        </w:rPr>
        <w:t xml:space="preserve"> </w:t>
      </w:r>
    </w:p>
    <w:p w14:paraId="7C1AEE6F" w14:textId="0847E651" w:rsidR="002F085B" w:rsidRDefault="002F085B" w:rsidP="00BA4A2D">
      <w:pPr>
        <w:widowControl w:val="0"/>
        <w:spacing w:after="0" w:line="480" w:lineRule="auto"/>
        <w:rPr>
          <w:rFonts w:ascii="Times New Roman" w:hAnsi="Times New Roman" w:cs="Times New Roman"/>
          <w:sz w:val="24"/>
          <w:szCs w:val="24"/>
        </w:rPr>
      </w:pPr>
      <w:r>
        <w:rPr>
          <w:rFonts w:ascii="Times New Roman" w:hAnsi="Times New Roman" w:cs="Times New Roman"/>
          <w:i/>
          <w:sz w:val="24"/>
          <w:szCs w:val="24"/>
        </w:rPr>
        <w:tab/>
      </w:r>
      <w:r w:rsidRPr="002F085B">
        <w:rPr>
          <w:rFonts w:ascii="Times New Roman" w:hAnsi="Times New Roman" w:cs="Times New Roman"/>
          <w:i/>
          <w:sz w:val="24"/>
          <w:szCs w:val="24"/>
        </w:rPr>
        <w:t xml:space="preserve">science </w:t>
      </w:r>
      <w:r>
        <w:rPr>
          <w:rFonts w:ascii="Times New Roman" w:hAnsi="Times New Roman" w:cs="Times New Roman"/>
          <w:i/>
          <w:sz w:val="24"/>
          <w:szCs w:val="24"/>
        </w:rPr>
        <w:t>a</w:t>
      </w:r>
      <w:r w:rsidRPr="002F085B">
        <w:rPr>
          <w:rFonts w:ascii="Times New Roman" w:hAnsi="Times New Roman" w:cs="Times New Roman"/>
          <w:i/>
          <w:sz w:val="24"/>
          <w:szCs w:val="24"/>
        </w:rPr>
        <w:t>nd engineering.</w:t>
      </w:r>
      <w:r>
        <w:rPr>
          <w:rFonts w:ascii="Times New Roman" w:hAnsi="Times New Roman" w:cs="Times New Roman"/>
          <w:sz w:val="24"/>
          <w:szCs w:val="24"/>
        </w:rPr>
        <w:t xml:space="preserve"> National Science Foundation (NSB 2020-1).</w:t>
      </w:r>
    </w:p>
    <w:p w14:paraId="4A7FAC4C" w14:textId="0D046171" w:rsidR="00F238F6" w:rsidRDefault="00F238F6"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Neary, B., Horak, J., Kovacova, M., Valaskova, K. (2018). The future of work: Disruptive </w:t>
      </w:r>
    </w:p>
    <w:p w14:paraId="40598330" w14:textId="381C83B2" w:rsidR="00F238F6" w:rsidRPr="00F238F6" w:rsidRDefault="00F238F6" w:rsidP="00BA4A2D">
      <w:pPr>
        <w:widowControl w:val="0"/>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business practices, technology-driven economic growth, and computer-induced job displacement. </w:t>
      </w:r>
      <w:r>
        <w:rPr>
          <w:rFonts w:ascii="Times New Roman" w:hAnsi="Times New Roman" w:cs="Times New Roman"/>
          <w:i/>
          <w:sz w:val="24"/>
          <w:szCs w:val="24"/>
        </w:rPr>
        <w:t>Journal of Self-Governance and Management Economics</w:t>
      </w:r>
      <w:r w:rsidR="001326E0">
        <w:rPr>
          <w:rFonts w:ascii="Times New Roman" w:hAnsi="Times New Roman" w:cs="Times New Roman"/>
          <w:i/>
          <w:sz w:val="24"/>
          <w:szCs w:val="24"/>
        </w:rPr>
        <w:t>,</w:t>
      </w:r>
      <w:r>
        <w:rPr>
          <w:rFonts w:ascii="Times New Roman" w:hAnsi="Times New Roman" w:cs="Times New Roman"/>
          <w:i/>
          <w:sz w:val="24"/>
          <w:szCs w:val="24"/>
        </w:rPr>
        <w:t xml:space="preserve"> 6</w:t>
      </w:r>
      <w:r>
        <w:rPr>
          <w:rFonts w:ascii="Times New Roman" w:hAnsi="Times New Roman" w:cs="Times New Roman"/>
          <w:sz w:val="24"/>
          <w:szCs w:val="24"/>
        </w:rPr>
        <w:t>(4), 19-24.</w:t>
      </w:r>
    </w:p>
    <w:p w14:paraId="613C3754" w14:textId="77777777" w:rsidR="00E71857" w:rsidRDefault="00E71857"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Nissen, J. M., &amp; Shemwell, J. T. (2016). Gender, experience, and self-efficacy in introductory </w:t>
      </w:r>
    </w:p>
    <w:p w14:paraId="7C4CCC52" w14:textId="11CDC354" w:rsidR="00E71857" w:rsidRPr="00E71857" w:rsidRDefault="00E71857"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physics. </w:t>
      </w:r>
      <w:r>
        <w:rPr>
          <w:rFonts w:ascii="Times New Roman" w:hAnsi="Times New Roman" w:cs="Times New Roman"/>
          <w:i/>
          <w:sz w:val="24"/>
          <w:szCs w:val="24"/>
        </w:rPr>
        <w:t xml:space="preserve">Physical Review Physics Education Research, 12, </w:t>
      </w:r>
      <w:r>
        <w:rPr>
          <w:rFonts w:ascii="Times New Roman" w:hAnsi="Times New Roman" w:cs="Times New Roman"/>
          <w:sz w:val="24"/>
          <w:szCs w:val="24"/>
        </w:rPr>
        <w:t>1-16.</w:t>
      </w:r>
    </w:p>
    <w:p w14:paraId="3B6F3902" w14:textId="765A2BBC" w:rsidR="00FB41AA" w:rsidRPr="00610033" w:rsidRDefault="00FB41AA" w:rsidP="00BA4A2D">
      <w:pPr>
        <w:widowControl w:val="0"/>
        <w:spacing w:after="0" w:line="480" w:lineRule="auto"/>
        <w:rPr>
          <w:rFonts w:ascii="Times New Roman" w:hAnsi="Times New Roman" w:cs="Times New Roman"/>
          <w:sz w:val="24"/>
          <w:szCs w:val="24"/>
        </w:rPr>
      </w:pPr>
      <w:r w:rsidRPr="00610033">
        <w:rPr>
          <w:rFonts w:ascii="Times New Roman" w:hAnsi="Times New Roman" w:cs="Times New Roman"/>
          <w:sz w:val="24"/>
          <w:szCs w:val="24"/>
        </w:rPr>
        <w:t xml:space="preserve">Nix, S., Perez-Felkner, L., &amp; Thomas, K. (2015). Perceived mathematical ability under </w:t>
      </w:r>
    </w:p>
    <w:p w14:paraId="34EAE1C9" w14:textId="77777777" w:rsidR="00FB41AA" w:rsidRPr="00610033" w:rsidRDefault="00FB41AA" w:rsidP="00BA4A2D">
      <w:pPr>
        <w:widowControl w:val="0"/>
        <w:spacing w:after="0" w:line="480" w:lineRule="auto"/>
        <w:ind w:left="720"/>
        <w:rPr>
          <w:rFonts w:ascii="Times New Roman" w:hAnsi="Times New Roman" w:cs="Times New Roman"/>
          <w:sz w:val="24"/>
          <w:szCs w:val="24"/>
        </w:rPr>
      </w:pPr>
      <w:r w:rsidRPr="00610033">
        <w:rPr>
          <w:rFonts w:ascii="Times New Roman" w:hAnsi="Times New Roman" w:cs="Times New Roman"/>
          <w:sz w:val="24"/>
          <w:szCs w:val="24"/>
        </w:rPr>
        <w:t xml:space="preserve">challenge: a longitudinal perspective on sex segregation among STEM degree fields. </w:t>
      </w:r>
      <w:r w:rsidRPr="00610033">
        <w:rPr>
          <w:rFonts w:ascii="Times New Roman" w:hAnsi="Times New Roman" w:cs="Times New Roman"/>
          <w:i/>
          <w:sz w:val="24"/>
          <w:szCs w:val="24"/>
        </w:rPr>
        <w:t xml:space="preserve">Frontiers in Psychology, 6, </w:t>
      </w:r>
      <w:r w:rsidRPr="00610033">
        <w:rPr>
          <w:rFonts w:ascii="Times New Roman" w:hAnsi="Times New Roman" w:cs="Times New Roman"/>
          <w:sz w:val="24"/>
          <w:szCs w:val="24"/>
        </w:rPr>
        <w:t xml:space="preserve">1-19. </w:t>
      </w:r>
    </w:p>
    <w:p w14:paraId="4CD68161" w14:textId="77777777" w:rsidR="007F37BA" w:rsidRDefault="0008082F" w:rsidP="00BA4A2D">
      <w:pPr>
        <w:widowControl w:val="0"/>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Patterson, J. V., &amp; Johnson, A. T. (2017). High school girls’ negotiation of perceived self-</w:t>
      </w:r>
    </w:p>
    <w:p w14:paraId="0FE48408" w14:textId="037F9FFF" w:rsidR="0008082F" w:rsidRPr="007F37BA" w:rsidRDefault="007F37BA" w:rsidP="00BA4A2D">
      <w:pPr>
        <w:widowControl w:val="0"/>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08082F">
        <w:rPr>
          <w:rFonts w:ascii="Times New Roman" w:hAnsi="Times New Roman" w:cs="Times New Roman"/>
          <w:color w:val="000000"/>
          <w:sz w:val="24"/>
          <w:szCs w:val="24"/>
          <w:shd w:val="clear" w:color="auto" w:fill="FFFFFF"/>
        </w:rPr>
        <w:t xml:space="preserve">efficacy and science course trajectories. </w:t>
      </w:r>
      <w:r w:rsidR="0008082F">
        <w:rPr>
          <w:rFonts w:ascii="Times New Roman" w:hAnsi="Times New Roman" w:cs="Times New Roman"/>
          <w:i/>
          <w:color w:val="000000"/>
          <w:sz w:val="24"/>
          <w:szCs w:val="24"/>
          <w:shd w:val="clear" w:color="auto" w:fill="FFFFFF"/>
        </w:rPr>
        <w:t xml:space="preserve">Journal of Research in Education, </w:t>
      </w:r>
      <w:r>
        <w:rPr>
          <w:rFonts w:ascii="Times New Roman" w:hAnsi="Times New Roman" w:cs="Times New Roman"/>
          <w:i/>
          <w:color w:val="000000"/>
          <w:sz w:val="24"/>
          <w:szCs w:val="24"/>
          <w:shd w:val="clear" w:color="auto" w:fill="FFFFFF"/>
        </w:rPr>
        <w:t>27</w:t>
      </w:r>
      <w:r>
        <w:rPr>
          <w:rFonts w:ascii="Times New Roman" w:hAnsi="Times New Roman" w:cs="Times New Roman"/>
          <w:color w:val="000000"/>
          <w:sz w:val="24"/>
          <w:szCs w:val="24"/>
          <w:shd w:val="clear" w:color="auto" w:fill="FFFFFF"/>
        </w:rPr>
        <w:t>(1), 79-113.</w:t>
      </w:r>
    </w:p>
    <w:p w14:paraId="54173700" w14:textId="686A317C" w:rsidR="001326E0" w:rsidRDefault="00FB41AA" w:rsidP="001326E0">
      <w:pPr>
        <w:widowControl w:val="0"/>
        <w:spacing w:after="0" w:line="480" w:lineRule="auto"/>
        <w:rPr>
          <w:rFonts w:ascii="Times New Roman" w:hAnsi="Times New Roman" w:cs="Times New Roman"/>
          <w:color w:val="000000"/>
          <w:sz w:val="24"/>
          <w:szCs w:val="24"/>
          <w:shd w:val="clear" w:color="auto" w:fill="FFFFFF"/>
        </w:rPr>
      </w:pPr>
      <w:r w:rsidRPr="00D4413F">
        <w:rPr>
          <w:rFonts w:ascii="Times New Roman" w:hAnsi="Times New Roman" w:cs="Times New Roman"/>
          <w:color w:val="000000"/>
          <w:sz w:val="24"/>
          <w:szCs w:val="24"/>
          <w:shd w:val="clear" w:color="auto" w:fill="FFFFFF"/>
        </w:rPr>
        <w:t>Peduzzi, P., Concato, J., Kemper, E., Holford, T.</w:t>
      </w:r>
      <w:r w:rsidR="001326E0">
        <w:rPr>
          <w:rFonts w:ascii="Times New Roman" w:hAnsi="Times New Roman" w:cs="Times New Roman"/>
          <w:color w:val="000000"/>
          <w:sz w:val="24"/>
          <w:szCs w:val="24"/>
          <w:shd w:val="clear" w:color="auto" w:fill="FFFFFF"/>
        </w:rPr>
        <w:t xml:space="preserve"> </w:t>
      </w:r>
      <w:r w:rsidRPr="00D4413F">
        <w:rPr>
          <w:rFonts w:ascii="Times New Roman" w:hAnsi="Times New Roman" w:cs="Times New Roman"/>
          <w:color w:val="000000"/>
          <w:sz w:val="24"/>
          <w:szCs w:val="24"/>
          <w:shd w:val="clear" w:color="auto" w:fill="FFFFFF"/>
        </w:rPr>
        <w:t>R</w:t>
      </w:r>
      <w:r w:rsidR="00D91A46">
        <w:rPr>
          <w:rFonts w:ascii="Times New Roman" w:hAnsi="Times New Roman" w:cs="Times New Roman"/>
          <w:color w:val="000000"/>
          <w:sz w:val="24"/>
          <w:szCs w:val="24"/>
          <w:shd w:val="clear" w:color="auto" w:fill="FFFFFF"/>
        </w:rPr>
        <w:t>., &amp;</w:t>
      </w:r>
      <w:r w:rsidRPr="00D4413F">
        <w:rPr>
          <w:rFonts w:ascii="Times New Roman" w:hAnsi="Times New Roman" w:cs="Times New Roman"/>
          <w:color w:val="000000"/>
          <w:sz w:val="24"/>
          <w:szCs w:val="24"/>
          <w:shd w:val="clear" w:color="auto" w:fill="FFFFFF"/>
        </w:rPr>
        <w:t xml:space="preserve"> Feinstein, A.</w:t>
      </w:r>
      <w:r w:rsidR="001326E0">
        <w:rPr>
          <w:rFonts w:ascii="Times New Roman" w:hAnsi="Times New Roman" w:cs="Times New Roman"/>
          <w:color w:val="000000"/>
          <w:sz w:val="24"/>
          <w:szCs w:val="24"/>
          <w:shd w:val="clear" w:color="auto" w:fill="FFFFFF"/>
        </w:rPr>
        <w:t xml:space="preserve"> </w:t>
      </w:r>
      <w:r w:rsidRPr="00D4413F">
        <w:rPr>
          <w:rFonts w:ascii="Times New Roman" w:hAnsi="Times New Roman" w:cs="Times New Roman"/>
          <w:color w:val="000000"/>
          <w:sz w:val="24"/>
          <w:szCs w:val="24"/>
          <w:shd w:val="clear" w:color="auto" w:fill="FFFFFF"/>
        </w:rPr>
        <w:t>R. (1996)</w:t>
      </w:r>
      <w:r>
        <w:rPr>
          <w:rFonts w:ascii="Times New Roman" w:hAnsi="Times New Roman" w:cs="Times New Roman"/>
          <w:color w:val="000000"/>
          <w:sz w:val="24"/>
          <w:szCs w:val="24"/>
          <w:shd w:val="clear" w:color="auto" w:fill="FFFFFF"/>
        </w:rPr>
        <w:t>. A s</w:t>
      </w:r>
      <w:r w:rsidRPr="00D4413F">
        <w:rPr>
          <w:rFonts w:ascii="Times New Roman" w:hAnsi="Times New Roman" w:cs="Times New Roman"/>
          <w:color w:val="000000"/>
          <w:sz w:val="24"/>
          <w:szCs w:val="24"/>
          <w:shd w:val="clear" w:color="auto" w:fill="FFFFFF"/>
        </w:rPr>
        <w:t xml:space="preserve">imulation </w:t>
      </w:r>
    </w:p>
    <w:p w14:paraId="2F37963A" w14:textId="5FCDEC8C" w:rsidR="00FB41AA" w:rsidRPr="00D4413F" w:rsidRDefault="00FB41AA" w:rsidP="00BA4A2D">
      <w:pPr>
        <w:widowControl w:val="0"/>
        <w:spacing w:after="0" w:line="480" w:lineRule="auto"/>
        <w:ind w:left="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study of the number of events per variable in logistic regression a</w:t>
      </w:r>
      <w:r w:rsidRPr="00D4413F">
        <w:rPr>
          <w:rFonts w:ascii="Times New Roman" w:hAnsi="Times New Roman" w:cs="Times New Roman"/>
          <w:color w:val="000000"/>
          <w:sz w:val="24"/>
          <w:szCs w:val="24"/>
          <w:shd w:val="clear" w:color="auto" w:fill="FFFFFF"/>
        </w:rPr>
        <w:t xml:space="preserve">nalysis. </w:t>
      </w:r>
      <w:r w:rsidRPr="00D4413F">
        <w:rPr>
          <w:rFonts w:ascii="Times New Roman" w:hAnsi="Times New Roman" w:cs="Times New Roman"/>
          <w:i/>
          <w:color w:val="000000"/>
          <w:sz w:val="24"/>
          <w:szCs w:val="24"/>
          <w:shd w:val="clear" w:color="auto" w:fill="FFFFFF"/>
        </w:rPr>
        <w:t>Journal of Clinical Epidemiology, 49,</w:t>
      </w:r>
      <w:r w:rsidRPr="00D4413F">
        <w:rPr>
          <w:rFonts w:ascii="Times New Roman" w:hAnsi="Times New Roman" w:cs="Times New Roman"/>
          <w:color w:val="000000"/>
          <w:sz w:val="24"/>
          <w:szCs w:val="24"/>
          <w:shd w:val="clear" w:color="auto" w:fill="FFFFFF"/>
        </w:rPr>
        <w:t xml:space="preserve"> 1373-1379.</w:t>
      </w:r>
    </w:p>
    <w:p w14:paraId="7F8A8FB5" w14:textId="77777777" w:rsidR="00CA3D49" w:rsidRDefault="00CA3D49"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Raelin, J. A., Bailey, M. B., Hamann, J., Pendleton, L. K., Reisberg, R., &amp; Whitman, D. L. </w:t>
      </w:r>
    </w:p>
    <w:p w14:paraId="01B8204C" w14:textId="77777777" w:rsidR="00CA3D49" w:rsidRDefault="00CA3D49"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(2014). The gendered effect of cooperation education, contextual support, and self-</w:t>
      </w:r>
    </w:p>
    <w:p w14:paraId="0FBBBBBC" w14:textId="79F8A527" w:rsidR="00CA3D49" w:rsidRDefault="00CA3D49"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efficacy on undergraduate retention. </w:t>
      </w:r>
      <w:r>
        <w:rPr>
          <w:rFonts w:ascii="Times New Roman" w:hAnsi="Times New Roman" w:cs="Times New Roman"/>
          <w:i/>
          <w:sz w:val="24"/>
          <w:szCs w:val="24"/>
        </w:rPr>
        <w:t>Journal of Engineering Education</w:t>
      </w:r>
      <w:r w:rsidR="001326E0">
        <w:rPr>
          <w:rFonts w:ascii="Times New Roman" w:hAnsi="Times New Roman" w:cs="Times New Roman"/>
          <w:i/>
          <w:sz w:val="24"/>
          <w:szCs w:val="24"/>
        </w:rPr>
        <w:t>,</w:t>
      </w:r>
      <w:r>
        <w:rPr>
          <w:rFonts w:ascii="Times New Roman" w:hAnsi="Times New Roman" w:cs="Times New Roman"/>
          <w:i/>
          <w:sz w:val="24"/>
          <w:szCs w:val="24"/>
        </w:rPr>
        <w:t xml:space="preserve"> 103</w:t>
      </w:r>
      <w:r>
        <w:rPr>
          <w:rFonts w:ascii="Times New Roman" w:hAnsi="Times New Roman" w:cs="Times New Roman"/>
          <w:sz w:val="24"/>
          <w:szCs w:val="24"/>
        </w:rPr>
        <w:t xml:space="preserve">(4), 599-624. </w:t>
      </w:r>
    </w:p>
    <w:p w14:paraId="3AC96F0A" w14:textId="77777777" w:rsidR="003E5FE1" w:rsidRDefault="003E5FE1"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Riegle-Crumb, C., Morton, K., Nguyen, U., &amp; Dasgupta, N. (2019). Inquiry-based instruction in </w:t>
      </w:r>
    </w:p>
    <w:p w14:paraId="1A94145A" w14:textId="77777777" w:rsidR="003E5FE1" w:rsidRDefault="003E5FE1"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science and mathematics in middle school classrooms: Examining its association with </w:t>
      </w:r>
    </w:p>
    <w:p w14:paraId="52ABD89C" w14:textId="035AF36A" w:rsidR="003E5FE1" w:rsidRPr="003E5FE1" w:rsidRDefault="003E5FE1"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students’ attitudes by gender and race/ethnicity. </w:t>
      </w:r>
      <w:r>
        <w:rPr>
          <w:rFonts w:ascii="Times New Roman" w:hAnsi="Times New Roman" w:cs="Times New Roman"/>
          <w:i/>
          <w:sz w:val="24"/>
          <w:szCs w:val="24"/>
        </w:rPr>
        <w:t>AERA Open</w:t>
      </w:r>
      <w:r w:rsidR="001326E0">
        <w:rPr>
          <w:rFonts w:ascii="Times New Roman" w:hAnsi="Times New Roman" w:cs="Times New Roman"/>
          <w:i/>
          <w:sz w:val="24"/>
          <w:szCs w:val="24"/>
        </w:rPr>
        <w:t>,</w:t>
      </w:r>
      <w:r>
        <w:rPr>
          <w:rFonts w:ascii="Times New Roman" w:hAnsi="Times New Roman" w:cs="Times New Roman"/>
          <w:i/>
          <w:sz w:val="24"/>
          <w:szCs w:val="24"/>
        </w:rPr>
        <w:t xml:space="preserve"> </w:t>
      </w:r>
      <w:r w:rsidR="00A153E7">
        <w:rPr>
          <w:rFonts w:ascii="Times New Roman" w:hAnsi="Times New Roman" w:cs="Times New Roman"/>
          <w:i/>
          <w:sz w:val="24"/>
          <w:szCs w:val="24"/>
        </w:rPr>
        <w:t>5</w:t>
      </w:r>
      <w:r w:rsidR="00A153E7">
        <w:rPr>
          <w:rFonts w:ascii="Times New Roman" w:hAnsi="Times New Roman" w:cs="Times New Roman"/>
          <w:sz w:val="24"/>
          <w:szCs w:val="24"/>
        </w:rPr>
        <w:t>(3)</w:t>
      </w:r>
      <w:r>
        <w:rPr>
          <w:rFonts w:ascii="Times New Roman" w:hAnsi="Times New Roman" w:cs="Times New Roman"/>
          <w:sz w:val="24"/>
          <w:szCs w:val="24"/>
        </w:rPr>
        <w:t>, 1-17.</w:t>
      </w:r>
    </w:p>
    <w:p w14:paraId="3B155692" w14:textId="52E4B164" w:rsidR="00A66A1B" w:rsidRDefault="004F6D53"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Roy, J. (2018). </w:t>
      </w:r>
      <w:r w:rsidRPr="009E38D7">
        <w:rPr>
          <w:rFonts w:ascii="Times New Roman" w:hAnsi="Times New Roman" w:cs="Times New Roman"/>
          <w:i/>
          <w:sz w:val="24"/>
          <w:szCs w:val="24"/>
        </w:rPr>
        <w:t>Engineering by the numbers.</w:t>
      </w:r>
      <w:r>
        <w:rPr>
          <w:rFonts w:ascii="Times New Roman" w:hAnsi="Times New Roman" w:cs="Times New Roman"/>
          <w:sz w:val="24"/>
          <w:szCs w:val="24"/>
        </w:rPr>
        <w:t xml:space="preserve"> </w:t>
      </w:r>
      <w:r w:rsidR="00A66A1B">
        <w:rPr>
          <w:rFonts w:ascii="Times New Roman" w:hAnsi="Times New Roman" w:cs="Times New Roman"/>
          <w:sz w:val="24"/>
          <w:szCs w:val="24"/>
        </w:rPr>
        <w:t xml:space="preserve">American Society for Engineering Education. </w:t>
      </w:r>
    </w:p>
    <w:p w14:paraId="08C3ACF4" w14:textId="340D7420" w:rsidR="004F6D53" w:rsidRDefault="004F6D53" w:rsidP="00BA4A2D">
      <w:pPr>
        <w:widowControl w:val="0"/>
        <w:spacing w:after="0" w:line="480" w:lineRule="auto"/>
        <w:ind w:left="720"/>
        <w:rPr>
          <w:rFonts w:ascii="Times New Roman" w:hAnsi="Times New Roman" w:cs="Times New Roman"/>
          <w:sz w:val="24"/>
          <w:szCs w:val="24"/>
        </w:rPr>
      </w:pPr>
      <w:r w:rsidRPr="004F6D53">
        <w:rPr>
          <w:rFonts w:ascii="Times New Roman" w:hAnsi="Times New Roman" w:cs="Times New Roman"/>
          <w:sz w:val="24"/>
          <w:szCs w:val="24"/>
        </w:rPr>
        <w:t>h</w:t>
      </w:r>
      <w:r w:rsidR="00A66A1B" w:rsidRPr="009E38D7">
        <w:rPr>
          <w:rFonts w:ascii="Times New Roman" w:hAnsi="Times New Roman" w:cs="Times New Roman"/>
          <w:sz w:val="24"/>
          <w:szCs w:val="24"/>
        </w:rPr>
        <w:t>ttps://ira.asee.org/wp-content/uploads/2019/07/2018-Engineering-by-Numbers-E</w:t>
      </w:r>
      <w:r w:rsidRPr="004F6D53">
        <w:rPr>
          <w:rFonts w:ascii="Times New Roman" w:hAnsi="Times New Roman" w:cs="Times New Roman"/>
          <w:sz w:val="24"/>
          <w:szCs w:val="24"/>
        </w:rPr>
        <w:t>ngineering-Statistics-UPDATED-15-July-2019.pdf</w:t>
      </w:r>
    </w:p>
    <w:p w14:paraId="2988B3D6" w14:textId="236B5B44" w:rsidR="00FB41AA" w:rsidRPr="002D4DAC" w:rsidRDefault="00FB41AA" w:rsidP="00BA4A2D">
      <w:pPr>
        <w:widowControl w:val="0"/>
        <w:spacing w:after="0" w:line="480" w:lineRule="auto"/>
        <w:rPr>
          <w:rFonts w:ascii="Times New Roman" w:hAnsi="Times New Roman" w:cs="Times New Roman"/>
          <w:sz w:val="24"/>
          <w:szCs w:val="24"/>
        </w:rPr>
      </w:pPr>
      <w:r w:rsidRPr="00D4413F">
        <w:rPr>
          <w:rFonts w:ascii="Times New Roman" w:hAnsi="Times New Roman" w:cs="Times New Roman"/>
          <w:sz w:val="24"/>
          <w:szCs w:val="24"/>
        </w:rPr>
        <w:t>Sakiz, G. (2008). An interview with Dale Schunk</w:t>
      </w:r>
      <w:r>
        <w:rPr>
          <w:rFonts w:ascii="Times New Roman" w:hAnsi="Times New Roman" w:cs="Times New Roman"/>
          <w:sz w:val="24"/>
          <w:szCs w:val="24"/>
        </w:rPr>
        <w:t xml:space="preserve">. </w:t>
      </w:r>
      <w:r>
        <w:rPr>
          <w:rFonts w:ascii="Times New Roman" w:hAnsi="Times New Roman" w:cs="Times New Roman"/>
          <w:i/>
          <w:sz w:val="24"/>
          <w:szCs w:val="24"/>
        </w:rPr>
        <w:t>Educational Phycology Review</w:t>
      </w:r>
      <w:r w:rsidR="001326E0">
        <w:rPr>
          <w:rFonts w:ascii="Times New Roman" w:hAnsi="Times New Roman" w:cs="Times New Roman"/>
          <w:i/>
          <w:sz w:val="24"/>
          <w:szCs w:val="24"/>
        </w:rPr>
        <w:t xml:space="preserve">, </w:t>
      </w:r>
      <w:r>
        <w:rPr>
          <w:rFonts w:ascii="Times New Roman" w:hAnsi="Times New Roman" w:cs="Times New Roman"/>
          <w:i/>
          <w:sz w:val="24"/>
          <w:szCs w:val="24"/>
        </w:rPr>
        <w:t xml:space="preserve">20, </w:t>
      </w:r>
      <w:r>
        <w:rPr>
          <w:rFonts w:ascii="Times New Roman" w:hAnsi="Times New Roman" w:cs="Times New Roman"/>
          <w:sz w:val="24"/>
          <w:szCs w:val="24"/>
        </w:rPr>
        <w:t>485-491.</w:t>
      </w:r>
      <w:r>
        <w:rPr>
          <w:rFonts w:ascii="Times New Roman" w:hAnsi="Times New Roman" w:cs="Times New Roman"/>
          <w:i/>
          <w:sz w:val="24"/>
          <w:szCs w:val="24"/>
        </w:rPr>
        <w:t xml:space="preserve"> </w:t>
      </w:r>
    </w:p>
    <w:p w14:paraId="7C67EDEF" w14:textId="6898F400" w:rsidR="00FB41AA" w:rsidRPr="00610033" w:rsidRDefault="00FB41AA" w:rsidP="00BA4A2D">
      <w:pPr>
        <w:widowControl w:val="0"/>
        <w:spacing w:after="0" w:line="480" w:lineRule="auto"/>
        <w:rPr>
          <w:rFonts w:ascii="Times New Roman" w:hAnsi="Times New Roman" w:cs="Times New Roman"/>
          <w:sz w:val="24"/>
          <w:szCs w:val="24"/>
        </w:rPr>
      </w:pPr>
      <w:r w:rsidRPr="00610033">
        <w:rPr>
          <w:rFonts w:ascii="Times New Roman" w:hAnsi="Times New Roman" w:cs="Times New Roman"/>
          <w:sz w:val="24"/>
          <w:szCs w:val="24"/>
        </w:rPr>
        <w:t>Sadler, P. M., Sonnert, G., Harazi, Z</w:t>
      </w:r>
      <w:r w:rsidR="00D91A46">
        <w:rPr>
          <w:rFonts w:ascii="Times New Roman" w:hAnsi="Times New Roman" w:cs="Times New Roman"/>
          <w:sz w:val="24"/>
          <w:szCs w:val="24"/>
        </w:rPr>
        <w:t>., &amp;</w:t>
      </w:r>
      <w:r w:rsidRPr="00610033">
        <w:rPr>
          <w:rFonts w:ascii="Times New Roman" w:hAnsi="Times New Roman" w:cs="Times New Roman"/>
          <w:sz w:val="24"/>
          <w:szCs w:val="24"/>
        </w:rPr>
        <w:t xml:space="preserve"> Tai, R. (2014). The role of advanced high school </w:t>
      </w:r>
    </w:p>
    <w:p w14:paraId="3A1FEED3" w14:textId="77777777" w:rsidR="00FB41AA" w:rsidRPr="00610033" w:rsidRDefault="00FB41AA" w:rsidP="00BA4A2D">
      <w:pPr>
        <w:widowControl w:val="0"/>
        <w:spacing w:after="0" w:line="480" w:lineRule="auto"/>
        <w:rPr>
          <w:rFonts w:ascii="Times New Roman" w:hAnsi="Times New Roman" w:cs="Times New Roman"/>
          <w:sz w:val="24"/>
          <w:szCs w:val="24"/>
        </w:rPr>
      </w:pPr>
      <w:r w:rsidRPr="00610033">
        <w:rPr>
          <w:rFonts w:ascii="Times New Roman" w:hAnsi="Times New Roman" w:cs="Times New Roman"/>
          <w:sz w:val="24"/>
          <w:szCs w:val="24"/>
        </w:rPr>
        <w:tab/>
        <w:t xml:space="preserve">coursework in increasing STEM career interest. </w:t>
      </w:r>
      <w:r w:rsidRPr="00610033">
        <w:rPr>
          <w:rFonts w:ascii="Times New Roman" w:hAnsi="Times New Roman" w:cs="Times New Roman"/>
          <w:i/>
          <w:sz w:val="24"/>
          <w:szCs w:val="24"/>
        </w:rPr>
        <w:t>Science Educator, 23</w:t>
      </w:r>
      <w:r w:rsidRPr="00610033">
        <w:rPr>
          <w:rFonts w:ascii="Times New Roman" w:hAnsi="Times New Roman" w:cs="Times New Roman"/>
          <w:sz w:val="24"/>
          <w:szCs w:val="24"/>
        </w:rPr>
        <w:t>(1), 1-13.</w:t>
      </w:r>
    </w:p>
    <w:p w14:paraId="18EE17D8" w14:textId="19369E6F" w:rsidR="00DD164A" w:rsidRDefault="00DD164A" w:rsidP="00BA4A2D">
      <w:pPr>
        <w:widowControl w:val="0"/>
        <w:spacing w:after="0" w:line="480" w:lineRule="auto"/>
        <w:rPr>
          <w:rFonts w:ascii="Times New Roman" w:hAnsi="Times New Roman" w:cs="Times New Roman"/>
          <w:i/>
          <w:sz w:val="24"/>
          <w:szCs w:val="24"/>
        </w:rPr>
      </w:pPr>
      <w:r>
        <w:rPr>
          <w:rFonts w:ascii="Times New Roman" w:hAnsi="Times New Roman" w:cs="Times New Roman"/>
          <w:sz w:val="24"/>
          <w:szCs w:val="24"/>
        </w:rPr>
        <w:t>Samsudin, M. A., Jamali, S. M., Md Zain, A. N</w:t>
      </w:r>
      <w:r w:rsidR="00D91A46">
        <w:rPr>
          <w:rFonts w:ascii="Times New Roman" w:hAnsi="Times New Roman" w:cs="Times New Roman"/>
          <w:sz w:val="24"/>
          <w:szCs w:val="24"/>
        </w:rPr>
        <w:t>., &amp;</w:t>
      </w:r>
      <w:r>
        <w:rPr>
          <w:rFonts w:ascii="Times New Roman" w:hAnsi="Times New Roman" w:cs="Times New Roman"/>
          <w:sz w:val="24"/>
          <w:szCs w:val="24"/>
        </w:rPr>
        <w:t xml:space="preserve"> Ale Ebrahim, N. (2020). The effect of STEM </w:t>
      </w:r>
      <w:r>
        <w:rPr>
          <w:rFonts w:ascii="Times New Roman" w:hAnsi="Times New Roman" w:cs="Times New Roman"/>
          <w:sz w:val="24"/>
          <w:szCs w:val="24"/>
        </w:rPr>
        <w:tab/>
        <w:t xml:space="preserve">project based learning on self-efficacy among high-school physics students. </w:t>
      </w:r>
      <w:r>
        <w:rPr>
          <w:rFonts w:ascii="Times New Roman" w:hAnsi="Times New Roman" w:cs="Times New Roman"/>
          <w:i/>
          <w:sz w:val="24"/>
          <w:szCs w:val="24"/>
        </w:rPr>
        <w:t>Jou</w:t>
      </w:r>
      <w:r w:rsidR="00467A5D">
        <w:rPr>
          <w:rFonts w:ascii="Times New Roman" w:hAnsi="Times New Roman" w:cs="Times New Roman"/>
          <w:i/>
          <w:sz w:val="24"/>
          <w:szCs w:val="24"/>
        </w:rPr>
        <w:t>r</w:t>
      </w:r>
      <w:r>
        <w:rPr>
          <w:rFonts w:ascii="Times New Roman" w:hAnsi="Times New Roman" w:cs="Times New Roman"/>
          <w:i/>
          <w:sz w:val="24"/>
          <w:szCs w:val="24"/>
        </w:rPr>
        <w:t xml:space="preserve">nal of </w:t>
      </w:r>
    </w:p>
    <w:p w14:paraId="47180ACA" w14:textId="0DDFEF00" w:rsidR="00DD164A" w:rsidRPr="00DD164A" w:rsidRDefault="00DD164A" w:rsidP="00BA4A2D">
      <w:pPr>
        <w:widowControl w:val="0"/>
        <w:spacing w:after="0" w:line="480" w:lineRule="auto"/>
        <w:rPr>
          <w:rFonts w:ascii="Times New Roman" w:hAnsi="Times New Roman" w:cs="Times New Roman"/>
          <w:sz w:val="24"/>
          <w:szCs w:val="24"/>
        </w:rPr>
      </w:pPr>
      <w:r>
        <w:rPr>
          <w:rFonts w:ascii="Times New Roman" w:hAnsi="Times New Roman" w:cs="Times New Roman"/>
          <w:i/>
          <w:sz w:val="24"/>
          <w:szCs w:val="24"/>
        </w:rPr>
        <w:tab/>
        <w:t xml:space="preserve">Turkish Science Education, </w:t>
      </w:r>
      <w:r w:rsidR="00A153E7">
        <w:rPr>
          <w:rFonts w:ascii="Times New Roman" w:hAnsi="Times New Roman" w:cs="Times New Roman"/>
          <w:i/>
          <w:sz w:val="24"/>
          <w:szCs w:val="24"/>
        </w:rPr>
        <w:t>17</w:t>
      </w:r>
      <w:r w:rsidR="00A153E7">
        <w:rPr>
          <w:rFonts w:ascii="Times New Roman" w:hAnsi="Times New Roman" w:cs="Times New Roman"/>
          <w:sz w:val="24"/>
          <w:szCs w:val="24"/>
        </w:rPr>
        <w:t>(1)</w:t>
      </w:r>
      <w:r>
        <w:rPr>
          <w:rFonts w:ascii="Times New Roman" w:hAnsi="Times New Roman" w:cs="Times New Roman"/>
          <w:sz w:val="24"/>
          <w:szCs w:val="24"/>
        </w:rPr>
        <w:t>, 94-108.</w:t>
      </w:r>
    </w:p>
    <w:p w14:paraId="430953A9" w14:textId="77777777" w:rsidR="00CA3D49" w:rsidRDefault="00CA3D49"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Sauder, M., Newsome, K., Zagales, I., Autrey, C., Das, S., Zagels, R., Bilski, T., &amp; Elkbuli, A. </w:t>
      </w:r>
    </w:p>
    <w:p w14:paraId="57DB4B51" w14:textId="5F68D353" w:rsidR="00CA3D49" w:rsidRDefault="00CA3D49"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(2022). Gender distributions of first and senior </w:t>
      </w:r>
      <w:r w:rsidR="00467A5D">
        <w:rPr>
          <w:rFonts w:ascii="Times New Roman" w:hAnsi="Times New Roman" w:cs="Times New Roman"/>
          <w:sz w:val="24"/>
          <w:szCs w:val="24"/>
        </w:rPr>
        <w:t>authorship</w:t>
      </w:r>
      <w:r>
        <w:rPr>
          <w:rFonts w:ascii="Times New Roman" w:hAnsi="Times New Roman" w:cs="Times New Roman"/>
          <w:sz w:val="24"/>
          <w:szCs w:val="24"/>
        </w:rPr>
        <w:t xml:space="preserve"> across most cited studies </w:t>
      </w:r>
    </w:p>
    <w:p w14:paraId="12E559DD" w14:textId="77777777" w:rsidR="00CA3D49" w:rsidRDefault="00CA3D49"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within top ten surgical journals form 2015-2020: Cementing women academic surgery </w:t>
      </w:r>
    </w:p>
    <w:p w14:paraId="03B53B4C" w14:textId="77777777" w:rsidR="00CA3D49" w:rsidRPr="002C03FA" w:rsidRDefault="00CA3D49"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representation. </w:t>
      </w:r>
      <w:r>
        <w:rPr>
          <w:rFonts w:ascii="Times New Roman" w:hAnsi="Times New Roman" w:cs="Times New Roman"/>
          <w:i/>
          <w:sz w:val="24"/>
          <w:szCs w:val="24"/>
        </w:rPr>
        <w:t xml:space="preserve">Journal of Surgical Research, 277, </w:t>
      </w:r>
      <w:r>
        <w:rPr>
          <w:rFonts w:ascii="Times New Roman" w:hAnsi="Times New Roman" w:cs="Times New Roman"/>
          <w:sz w:val="24"/>
          <w:szCs w:val="24"/>
        </w:rPr>
        <w:t>7-16.</w:t>
      </w:r>
    </w:p>
    <w:p w14:paraId="24A5F2FF" w14:textId="77777777" w:rsidR="00DB1CF7" w:rsidRDefault="00FB41AA" w:rsidP="00DB1CF7">
      <w:pPr>
        <w:widowControl w:val="0"/>
        <w:spacing w:after="0" w:line="480" w:lineRule="auto"/>
        <w:rPr>
          <w:rFonts w:ascii="Times New Roman" w:hAnsi="Times New Roman" w:cs="Times New Roman"/>
          <w:sz w:val="24"/>
          <w:szCs w:val="24"/>
        </w:rPr>
      </w:pPr>
      <w:r w:rsidRPr="00610033">
        <w:rPr>
          <w:rFonts w:ascii="Times New Roman" w:hAnsi="Times New Roman" w:cs="Times New Roman"/>
          <w:sz w:val="24"/>
          <w:szCs w:val="24"/>
        </w:rPr>
        <w:t xml:space="preserve">Sawtelle, V. (2011). </w:t>
      </w:r>
      <w:r w:rsidRPr="00610033">
        <w:rPr>
          <w:rFonts w:ascii="Times New Roman" w:hAnsi="Times New Roman" w:cs="Times New Roman"/>
          <w:i/>
          <w:sz w:val="24"/>
          <w:szCs w:val="24"/>
        </w:rPr>
        <w:t>A gender study investigating self-efficacy.</w:t>
      </w:r>
      <w:r w:rsidRPr="00610033">
        <w:rPr>
          <w:rFonts w:ascii="Times New Roman" w:hAnsi="Times New Roman" w:cs="Times New Roman"/>
          <w:sz w:val="24"/>
          <w:szCs w:val="24"/>
        </w:rPr>
        <w:t xml:space="preserve"> (Doctoral Dissertation). </w:t>
      </w:r>
      <w:r w:rsidR="00DB1CF7">
        <w:rPr>
          <w:rFonts w:ascii="Times New Roman" w:hAnsi="Times New Roman" w:cs="Times New Roman"/>
          <w:sz w:val="24"/>
          <w:szCs w:val="24"/>
        </w:rPr>
        <w:t xml:space="preserve">Florida </w:t>
      </w:r>
    </w:p>
    <w:p w14:paraId="5880D03E" w14:textId="61CD4613" w:rsidR="00FB41AA" w:rsidRPr="00610033" w:rsidRDefault="00DB1CF7" w:rsidP="00BA4A2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International University.</w:t>
      </w:r>
      <w:r w:rsidR="00FB41AA" w:rsidRPr="00610033">
        <w:rPr>
          <w:rFonts w:ascii="Times New Roman" w:hAnsi="Times New Roman" w:cs="Times New Roman"/>
          <w:sz w:val="24"/>
          <w:szCs w:val="24"/>
        </w:rPr>
        <w:t xml:space="preserve"> ProQuest (3502124)</w:t>
      </w:r>
      <w:r>
        <w:rPr>
          <w:rFonts w:ascii="Times New Roman" w:hAnsi="Times New Roman" w:cs="Times New Roman"/>
          <w:sz w:val="24"/>
          <w:szCs w:val="24"/>
        </w:rPr>
        <w:t>.</w:t>
      </w:r>
    </w:p>
    <w:p w14:paraId="7561AF3E" w14:textId="08E54CEE" w:rsidR="001F22BE" w:rsidRDefault="001F22BE"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Simon, R. A., Aulls, M. W., Dedic, H., Hubbard, K., &amp; Hall, N. C. (2015). Exploring student </w:t>
      </w:r>
    </w:p>
    <w:p w14:paraId="40C277C1" w14:textId="4765BC12" w:rsidR="001F22BE" w:rsidRDefault="001F22BE" w:rsidP="00BA4A2D">
      <w:pPr>
        <w:widowControl w:val="0"/>
        <w:spacing w:after="0" w:line="480" w:lineRule="auto"/>
        <w:rPr>
          <w:rFonts w:ascii="Times New Roman" w:hAnsi="Times New Roman" w:cs="Times New Roman"/>
          <w:i/>
          <w:sz w:val="24"/>
          <w:szCs w:val="24"/>
        </w:rPr>
      </w:pPr>
      <w:r>
        <w:rPr>
          <w:rFonts w:ascii="Times New Roman" w:hAnsi="Times New Roman" w:cs="Times New Roman"/>
          <w:sz w:val="24"/>
          <w:szCs w:val="24"/>
        </w:rPr>
        <w:tab/>
      </w:r>
      <w:r w:rsidR="00467A5D">
        <w:rPr>
          <w:rFonts w:ascii="Times New Roman" w:hAnsi="Times New Roman" w:cs="Times New Roman"/>
          <w:sz w:val="24"/>
          <w:szCs w:val="24"/>
        </w:rPr>
        <w:t>persistence</w:t>
      </w:r>
      <w:r>
        <w:rPr>
          <w:rFonts w:ascii="Times New Roman" w:hAnsi="Times New Roman" w:cs="Times New Roman"/>
          <w:sz w:val="24"/>
          <w:szCs w:val="24"/>
        </w:rPr>
        <w:t xml:space="preserve"> in STEM programs: A motivational model. </w:t>
      </w:r>
      <w:r>
        <w:rPr>
          <w:rFonts w:ascii="Times New Roman" w:hAnsi="Times New Roman" w:cs="Times New Roman"/>
          <w:i/>
          <w:sz w:val="24"/>
          <w:szCs w:val="24"/>
        </w:rPr>
        <w:t xml:space="preserve">Canadian Journal of Education, </w:t>
      </w:r>
    </w:p>
    <w:p w14:paraId="02008744" w14:textId="53A65035" w:rsidR="001F22BE" w:rsidRPr="001F22BE" w:rsidRDefault="001F22BE" w:rsidP="00BA4A2D">
      <w:pPr>
        <w:widowControl w:val="0"/>
        <w:spacing w:after="0" w:line="480" w:lineRule="auto"/>
        <w:rPr>
          <w:rFonts w:ascii="Times New Roman" w:hAnsi="Times New Roman" w:cs="Times New Roman"/>
          <w:sz w:val="24"/>
          <w:szCs w:val="24"/>
        </w:rPr>
      </w:pPr>
      <w:r>
        <w:rPr>
          <w:rFonts w:ascii="Times New Roman" w:hAnsi="Times New Roman" w:cs="Times New Roman"/>
          <w:i/>
          <w:sz w:val="24"/>
          <w:szCs w:val="24"/>
        </w:rPr>
        <w:tab/>
      </w:r>
      <w:r w:rsidR="00A153E7">
        <w:rPr>
          <w:rFonts w:ascii="Times New Roman" w:hAnsi="Times New Roman" w:cs="Times New Roman"/>
          <w:i/>
          <w:sz w:val="24"/>
          <w:szCs w:val="24"/>
        </w:rPr>
        <w:t>38</w:t>
      </w:r>
      <w:r w:rsidR="00A153E7">
        <w:rPr>
          <w:rFonts w:ascii="Times New Roman" w:hAnsi="Times New Roman" w:cs="Times New Roman"/>
          <w:sz w:val="24"/>
          <w:szCs w:val="24"/>
        </w:rPr>
        <w:t>(1)</w:t>
      </w:r>
      <w:r>
        <w:rPr>
          <w:rFonts w:ascii="Times New Roman" w:hAnsi="Times New Roman" w:cs="Times New Roman"/>
          <w:sz w:val="24"/>
          <w:szCs w:val="24"/>
        </w:rPr>
        <w:t>, 1-27.</w:t>
      </w:r>
    </w:p>
    <w:p w14:paraId="29E86F31" w14:textId="44D02133" w:rsidR="00DB1CF7" w:rsidRDefault="00FB41AA" w:rsidP="000943B8">
      <w:pPr>
        <w:widowControl w:val="0"/>
        <w:spacing w:after="0" w:line="480" w:lineRule="auto"/>
        <w:rPr>
          <w:rFonts w:ascii="Times New Roman" w:hAnsi="Times New Roman" w:cs="Times New Roman"/>
          <w:i/>
          <w:sz w:val="24"/>
          <w:szCs w:val="24"/>
        </w:rPr>
      </w:pPr>
      <w:r w:rsidRPr="00610033">
        <w:rPr>
          <w:rFonts w:ascii="Times New Roman" w:hAnsi="Times New Roman" w:cs="Times New Roman"/>
          <w:sz w:val="24"/>
          <w:szCs w:val="24"/>
        </w:rPr>
        <w:t>Spencer, L. G</w:t>
      </w:r>
      <w:r w:rsidR="00DB1CF7">
        <w:rPr>
          <w:rFonts w:ascii="Times New Roman" w:hAnsi="Times New Roman" w:cs="Times New Roman"/>
          <w:sz w:val="24"/>
          <w:szCs w:val="24"/>
        </w:rPr>
        <w:t>.</w:t>
      </w:r>
      <w:r w:rsidRPr="00610033">
        <w:rPr>
          <w:rFonts w:ascii="Times New Roman" w:hAnsi="Times New Roman" w:cs="Times New Roman"/>
          <w:sz w:val="24"/>
          <w:szCs w:val="24"/>
        </w:rPr>
        <w:t>, &amp; Capuzza, J. C. (2016). Interrogating the darkness</w:t>
      </w:r>
      <w:r w:rsidR="00736F31">
        <w:rPr>
          <w:rFonts w:ascii="Times New Roman" w:hAnsi="Times New Roman" w:cs="Times New Roman"/>
          <w:sz w:val="24"/>
          <w:szCs w:val="24"/>
        </w:rPr>
        <w:t xml:space="preserve">. </w:t>
      </w:r>
      <w:r w:rsidRPr="00610033">
        <w:rPr>
          <w:rFonts w:ascii="Times New Roman" w:hAnsi="Times New Roman" w:cs="Times New Roman"/>
          <w:i/>
          <w:sz w:val="24"/>
          <w:szCs w:val="24"/>
        </w:rPr>
        <w:t>Communication</w:t>
      </w:r>
      <w:r w:rsidRPr="00610033">
        <w:rPr>
          <w:rFonts w:ascii="Times New Roman" w:hAnsi="Times New Roman" w:cs="Times New Roman"/>
          <w:sz w:val="24"/>
          <w:szCs w:val="24"/>
        </w:rPr>
        <w:t xml:space="preserve"> </w:t>
      </w:r>
      <w:r w:rsidRPr="00610033">
        <w:rPr>
          <w:rFonts w:ascii="Times New Roman" w:hAnsi="Times New Roman" w:cs="Times New Roman"/>
          <w:i/>
          <w:sz w:val="24"/>
          <w:szCs w:val="24"/>
        </w:rPr>
        <w:t xml:space="preserve">Education, </w:t>
      </w:r>
    </w:p>
    <w:p w14:paraId="037316FA" w14:textId="551F395C" w:rsidR="00FB41AA" w:rsidRPr="00610033" w:rsidRDefault="00A153E7" w:rsidP="00BA4A2D">
      <w:pPr>
        <w:widowControl w:val="0"/>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65</w:t>
      </w:r>
      <w:r>
        <w:rPr>
          <w:rFonts w:ascii="Times New Roman" w:hAnsi="Times New Roman" w:cs="Times New Roman"/>
          <w:sz w:val="24"/>
          <w:szCs w:val="24"/>
        </w:rPr>
        <w:t>(1)</w:t>
      </w:r>
      <w:r w:rsidR="00FB41AA" w:rsidRPr="00610033">
        <w:rPr>
          <w:rFonts w:ascii="Times New Roman" w:hAnsi="Times New Roman" w:cs="Times New Roman"/>
          <w:sz w:val="24"/>
          <w:szCs w:val="24"/>
        </w:rPr>
        <w:t xml:space="preserve">, 105-127. </w:t>
      </w:r>
    </w:p>
    <w:p w14:paraId="207DD2A3" w14:textId="77777777" w:rsidR="007C12B4" w:rsidRDefault="007C12B4"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Stewart, J., Henderson, R., Michaluk, L., Deshler, J., &amp; Fuller, E. (2020). Using the social </w:t>
      </w:r>
    </w:p>
    <w:p w14:paraId="57DB2403" w14:textId="77777777" w:rsidR="007C12B4" w:rsidRDefault="007C12B4"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cognitive theory framework to chart gender differences in the developmental trajectory of </w:t>
      </w:r>
    </w:p>
    <w:p w14:paraId="2DCE681F" w14:textId="77777777" w:rsidR="007C12B4" w:rsidRDefault="007C12B4" w:rsidP="00BA4A2D">
      <w:pPr>
        <w:widowControl w:val="0"/>
        <w:spacing w:after="0" w:line="480" w:lineRule="auto"/>
        <w:rPr>
          <w:rFonts w:ascii="Times New Roman" w:hAnsi="Times New Roman" w:cs="Times New Roman"/>
          <w:i/>
          <w:sz w:val="24"/>
          <w:szCs w:val="24"/>
        </w:rPr>
      </w:pPr>
      <w:r>
        <w:rPr>
          <w:rFonts w:ascii="Times New Roman" w:hAnsi="Times New Roman" w:cs="Times New Roman"/>
          <w:sz w:val="24"/>
          <w:szCs w:val="24"/>
        </w:rPr>
        <w:tab/>
        <w:t xml:space="preserve">STEM self-efficacy in science and engineering students. </w:t>
      </w:r>
      <w:r>
        <w:rPr>
          <w:rFonts w:ascii="Times New Roman" w:hAnsi="Times New Roman" w:cs="Times New Roman"/>
          <w:i/>
          <w:sz w:val="24"/>
          <w:szCs w:val="24"/>
        </w:rPr>
        <w:t xml:space="preserve">Journal of Science Education </w:t>
      </w:r>
    </w:p>
    <w:p w14:paraId="2C46FF0F" w14:textId="7F9683FB" w:rsidR="007C12B4" w:rsidRPr="007C12B4" w:rsidRDefault="007C12B4" w:rsidP="00BA4A2D">
      <w:pPr>
        <w:widowControl w:val="0"/>
        <w:spacing w:after="0" w:line="480" w:lineRule="auto"/>
        <w:rPr>
          <w:rFonts w:ascii="Times New Roman" w:hAnsi="Times New Roman" w:cs="Times New Roman"/>
          <w:sz w:val="24"/>
          <w:szCs w:val="24"/>
        </w:rPr>
      </w:pPr>
      <w:r>
        <w:rPr>
          <w:rFonts w:ascii="Times New Roman" w:hAnsi="Times New Roman" w:cs="Times New Roman"/>
          <w:i/>
          <w:sz w:val="24"/>
          <w:szCs w:val="24"/>
        </w:rPr>
        <w:tab/>
        <w:t xml:space="preserve">and </w:t>
      </w:r>
      <w:r w:rsidR="00467A5D">
        <w:rPr>
          <w:rFonts w:ascii="Times New Roman" w:hAnsi="Times New Roman" w:cs="Times New Roman"/>
          <w:i/>
          <w:sz w:val="24"/>
          <w:szCs w:val="24"/>
        </w:rPr>
        <w:t>Technology</w:t>
      </w:r>
      <w:r>
        <w:rPr>
          <w:rFonts w:ascii="Times New Roman" w:hAnsi="Times New Roman" w:cs="Times New Roman"/>
          <w:i/>
          <w:sz w:val="24"/>
          <w:szCs w:val="24"/>
        </w:rPr>
        <w:t xml:space="preserve">, 29, </w:t>
      </w:r>
      <w:r>
        <w:rPr>
          <w:rFonts w:ascii="Times New Roman" w:hAnsi="Times New Roman" w:cs="Times New Roman"/>
          <w:sz w:val="24"/>
          <w:szCs w:val="24"/>
        </w:rPr>
        <w:t>758-773.</w:t>
      </w:r>
    </w:p>
    <w:p w14:paraId="3E6996C5" w14:textId="3F65918C" w:rsidR="00DB1CF7" w:rsidRDefault="00FB41AA" w:rsidP="000943B8">
      <w:pPr>
        <w:widowControl w:val="0"/>
        <w:spacing w:after="0" w:line="480" w:lineRule="auto"/>
        <w:rPr>
          <w:rFonts w:ascii="Times New Roman" w:hAnsi="Times New Roman" w:cs="Times New Roman"/>
          <w:sz w:val="24"/>
          <w:szCs w:val="24"/>
        </w:rPr>
      </w:pPr>
      <w:r w:rsidRPr="00610033">
        <w:rPr>
          <w:rFonts w:ascii="Times New Roman" w:hAnsi="Times New Roman" w:cs="Times New Roman"/>
          <w:sz w:val="24"/>
          <w:szCs w:val="24"/>
        </w:rPr>
        <w:t>Stout, J. G., Grunberg, V. A</w:t>
      </w:r>
      <w:r w:rsidR="00D91A46">
        <w:rPr>
          <w:rFonts w:ascii="Times New Roman" w:hAnsi="Times New Roman" w:cs="Times New Roman"/>
          <w:sz w:val="24"/>
          <w:szCs w:val="24"/>
        </w:rPr>
        <w:t>., &amp;</w:t>
      </w:r>
      <w:r w:rsidRPr="00610033">
        <w:rPr>
          <w:rFonts w:ascii="Times New Roman" w:hAnsi="Times New Roman" w:cs="Times New Roman"/>
          <w:sz w:val="24"/>
          <w:szCs w:val="24"/>
        </w:rPr>
        <w:t xml:space="preserve"> Ito, T. A. (2016). Gender roles and stereotypes about science </w:t>
      </w:r>
    </w:p>
    <w:p w14:paraId="668832F3" w14:textId="02CFC08B" w:rsidR="00FB41AA" w:rsidRPr="00610033" w:rsidRDefault="00FB41AA" w:rsidP="00BA4A2D">
      <w:pPr>
        <w:widowControl w:val="0"/>
        <w:spacing w:after="0" w:line="480" w:lineRule="auto"/>
        <w:ind w:firstLine="720"/>
        <w:rPr>
          <w:rFonts w:ascii="Times New Roman" w:hAnsi="Times New Roman" w:cs="Times New Roman"/>
          <w:sz w:val="24"/>
          <w:szCs w:val="24"/>
        </w:rPr>
      </w:pPr>
      <w:r w:rsidRPr="00610033">
        <w:rPr>
          <w:rFonts w:ascii="Times New Roman" w:hAnsi="Times New Roman" w:cs="Times New Roman"/>
          <w:sz w:val="24"/>
          <w:szCs w:val="24"/>
        </w:rPr>
        <w:t xml:space="preserve">careers help explain women and men’s science pursuits. </w:t>
      </w:r>
      <w:r w:rsidRPr="00610033">
        <w:rPr>
          <w:rFonts w:ascii="Times New Roman" w:hAnsi="Times New Roman" w:cs="Times New Roman"/>
          <w:i/>
          <w:sz w:val="24"/>
          <w:szCs w:val="24"/>
        </w:rPr>
        <w:t xml:space="preserve">Sex Roles, 75, </w:t>
      </w:r>
      <w:r w:rsidRPr="00610033">
        <w:rPr>
          <w:rFonts w:ascii="Times New Roman" w:hAnsi="Times New Roman" w:cs="Times New Roman"/>
          <w:sz w:val="24"/>
          <w:szCs w:val="24"/>
        </w:rPr>
        <w:t>490-499.</w:t>
      </w:r>
    </w:p>
    <w:p w14:paraId="121780A0" w14:textId="77777777" w:rsidR="00FB41AA" w:rsidRPr="00610033" w:rsidRDefault="00FB41AA" w:rsidP="00BA4A2D">
      <w:pPr>
        <w:widowControl w:val="0"/>
        <w:spacing w:after="0" w:line="480" w:lineRule="auto"/>
        <w:rPr>
          <w:rFonts w:ascii="Times New Roman" w:hAnsi="Times New Roman" w:cs="Times New Roman"/>
          <w:sz w:val="24"/>
          <w:szCs w:val="24"/>
        </w:rPr>
      </w:pPr>
      <w:r w:rsidRPr="00610033">
        <w:rPr>
          <w:rFonts w:ascii="Times New Roman" w:hAnsi="Times New Roman" w:cs="Times New Roman"/>
          <w:sz w:val="24"/>
          <w:szCs w:val="24"/>
        </w:rPr>
        <w:t xml:space="preserve">Suana, W. (2018). Students’ internet access, internet self-efficacy, and internet for </w:t>
      </w:r>
    </w:p>
    <w:p w14:paraId="2AAE46A1" w14:textId="77777777" w:rsidR="00FB41AA" w:rsidRPr="00610033" w:rsidRDefault="00FB41AA" w:rsidP="00BA4A2D">
      <w:pPr>
        <w:widowControl w:val="0"/>
        <w:spacing w:after="0" w:line="480" w:lineRule="auto"/>
        <w:ind w:left="720"/>
        <w:rPr>
          <w:rFonts w:ascii="Times New Roman" w:hAnsi="Times New Roman" w:cs="Times New Roman"/>
          <w:sz w:val="24"/>
          <w:szCs w:val="24"/>
        </w:rPr>
      </w:pPr>
      <w:r w:rsidRPr="00610033">
        <w:rPr>
          <w:rFonts w:ascii="Times New Roman" w:hAnsi="Times New Roman" w:cs="Times New Roman"/>
          <w:sz w:val="24"/>
          <w:szCs w:val="24"/>
        </w:rPr>
        <w:t xml:space="preserve">learning physics: Gender and grade differences. </w:t>
      </w:r>
      <w:r w:rsidRPr="00610033">
        <w:rPr>
          <w:rFonts w:ascii="Times New Roman" w:hAnsi="Times New Roman" w:cs="Times New Roman"/>
          <w:i/>
          <w:sz w:val="24"/>
          <w:szCs w:val="24"/>
        </w:rPr>
        <w:t>Journal of Technology and Science Education, 8</w:t>
      </w:r>
      <w:r w:rsidRPr="00610033">
        <w:rPr>
          <w:rFonts w:ascii="Times New Roman" w:hAnsi="Times New Roman" w:cs="Times New Roman"/>
          <w:sz w:val="24"/>
          <w:szCs w:val="24"/>
        </w:rPr>
        <w:t>(4), 281-290.</w:t>
      </w:r>
    </w:p>
    <w:p w14:paraId="197710BF" w14:textId="37B5B665" w:rsidR="004F29D4" w:rsidRDefault="004F29D4"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Tabachnick, B. G., Fidell, L. S. (2007). </w:t>
      </w:r>
      <w:r w:rsidRPr="004F29D4">
        <w:rPr>
          <w:rFonts w:ascii="Times New Roman" w:hAnsi="Times New Roman" w:cs="Times New Roman"/>
          <w:i/>
          <w:sz w:val="24"/>
          <w:szCs w:val="24"/>
        </w:rPr>
        <w:t xml:space="preserve">Using </w:t>
      </w:r>
      <w:r w:rsidR="00DB1CF7">
        <w:rPr>
          <w:rFonts w:ascii="Times New Roman" w:hAnsi="Times New Roman" w:cs="Times New Roman"/>
          <w:i/>
          <w:sz w:val="24"/>
          <w:szCs w:val="24"/>
        </w:rPr>
        <w:t>m</w:t>
      </w:r>
      <w:r w:rsidRPr="004F29D4">
        <w:rPr>
          <w:rFonts w:ascii="Times New Roman" w:hAnsi="Times New Roman" w:cs="Times New Roman"/>
          <w:i/>
          <w:sz w:val="24"/>
          <w:szCs w:val="24"/>
        </w:rPr>
        <w:t xml:space="preserve">ultivariate </w:t>
      </w:r>
      <w:r w:rsidR="00DB1CF7">
        <w:rPr>
          <w:rFonts w:ascii="Times New Roman" w:hAnsi="Times New Roman" w:cs="Times New Roman"/>
          <w:i/>
          <w:sz w:val="24"/>
          <w:szCs w:val="24"/>
        </w:rPr>
        <w:t>s</w:t>
      </w:r>
      <w:r w:rsidRPr="004F29D4">
        <w:rPr>
          <w:rFonts w:ascii="Times New Roman" w:hAnsi="Times New Roman" w:cs="Times New Roman"/>
          <w:i/>
          <w:sz w:val="24"/>
          <w:szCs w:val="24"/>
        </w:rPr>
        <w:t>tatistics</w:t>
      </w:r>
      <w:r>
        <w:rPr>
          <w:rFonts w:ascii="Times New Roman" w:hAnsi="Times New Roman" w:cs="Times New Roman"/>
          <w:sz w:val="24"/>
          <w:szCs w:val="24"/>
        </w:rPr>
        <w:t>. Pearson.</w:t>
      </w:r>
    </w:p>
    <w:p w14:paraId="7075E187" w14:textId="71DBC8B7" w:rsidR="00C3395D" w:rsidRDefault="00C3395D"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Tadjdeh, Y. (2018). U.S. winning supercomputer race, for now. </w:t>
      </w:r>
      <w:r>
        <w:rPr>
          <w:rFonts w:ascii="Times New Roman" w:hAnsi="Times New Roman" w:cs="Times New Roman"/>
          <w:i/>
          <w:sz w:val="24"/>
          <w:szCs w:val="24"/>
        </w:rPr>
        <w:t xml:space="preserve">National </w:t>
      </w:r>
      <w:r w:rsidR="009456EA">
        <w:rPr>
          <w:rFonts w:ascii="Times New Roman" w:hAnsi="Times New Roman" w:cs="Times New Roman"/>
          <w:i/>
          <w:sz w:val="24"/>
          <w:szCs w:val="24"/>
        </w:rPr>
        <w:t>Defense</w:t>
      </w:r>
      <w:r>
        <w:rPr>
          <w:rFonts w:ascii="Times New Roman" w:hAnsi="Times New Roman" w:cs="Times New Roman"/>
          <w:i/>
          <w:sz w:val="24"/>
          <w:szCs w:val="24"/>
        </w:rPr>
        <w:t xml:space="preserve">, </w:t>
      </w:r>
      <w:r>
        <w:rPr>
          <w:rFonts w:ascii="Times New Roman" w:hAnsi="Times New Roman" w:cs="Times New Roman"/>
          <w:sz w:val="24"/>
          <w:szCs w:val="24"/>
        </w:rPr>
        <w:t xml:space="preserve">30. </w:t>
      </w:r>
    </w:p>
    <w:p w14:paraId="58053445" w14:textId="061536E1" w:rsidR="00FB41AA" w:rsidRDefault="00FB41AA" w:rsidP="00BA4A2D">
      <w:pPr>
        <w:widowControl w:val="0"/>
        <w:spacing w:after="0" w:line="480" w:lineRule="auto"/>
        <w:rPr>
          <w:rFonts w:ascii="Times New Roman" w:hAnsi="Times New Roman" w:cs="Times New Roman"/>
          <w:sz w:val="24"/>
          <w:szCs w:val="24"/>
        </w:rPr>
      </w:pPr>
      <w:r w:rsidRPr="00754FE0">
        <w:rPr>
          <w:rFonts w:ascii="Times New Roman" w:hAnsi="Times New Roman" w:cs="Times New Roman"/>
          <w:sz w:val="24"/>
          <w:szCs w:val="24"/>
        </w:rPr>
        <w:t>Tedd</w:t>
      </w:r>
      <w:r w:rsidR="00AF506D">
        <w:rPr>
          <w:rFonts w:ascii="Times New Roman" w:hAnsi="Times New Roman" w:cs="Times New Roman"/>
          <w:sz w:val="24"/>
          <w:szCs w:val="24"/>
        </w:rPr>
        <w:t>l</w:t>
      </w:r>
      <w:r w:rsidRPr="00754FE0">
        <w:rPr>
          <w:rFonts w:ascii="Times New Roman" w:hAnsi="Times New Roman" w:cs="Times New Roman"/>
          <w:sz w:val="24"/>
          <w:szCs w:val="24"/>
        </w:rPr>
        <w:t>ie, C</w:t>
      </w:r>
      <w:r w:rsidR="00D91A46">
        <w:rPr>
          <w:rFonts w:ascii="Times New Roman" w:hAnsi="Times New Roman" w:cs="Times New Roman"/>
          <w:sz w:val="24"/>
          <w:szCs w:val="24"/>
        </w:rPr>
        <w:t>., &amp;</w:t>
      </w:r>
      <w:r w:rsidRPr="00754FE0">
        <w:rPr>
          <w:rFonts w:ascii="Times New Roman" w:hAnsi="Times New Roman" w:cs="Times New Roman"/>
          <w:sz w:val="24"/>
          <w:szCs w:val="24"/>
        </w:rPr>
        <w:t xml:space="preserve"> Tashakkori, A. (2009). </w:t>
      </w:r>
      <w:r w:rsidRPr="00754FE0">
        <w:rPr>
          <w:rFonts w:ascii="Times New Roman" w:hAnsi="Times New Roman" w:cs="Times New Roman"/>
          <w:i/>
          <w:sz w:val="24"/>
          <w:szCs w:val="24"/>
        </w:rPr>
        <w:t>Foundations of mixed methods research</w:t>
      </w:r>
      <w:r w:rsidRPr="00754FE0">
        <w:rPr>
          <w:rFonts w:ascii="Times New Roman" w:hAnsi="Times New Roman" w:cs="Times New Roman"/>
          <w:sz w:val="24"/>
          <w:szCs w:val="24"/>
        </w:rPr>
        <w:t>. Sage.</w:t>
      </w:r>
    </w:p>
    <w:p w14:paraId="077F87F2" w14:textId="77777777" w:rsidR="006B24F4" w:rsidRDefault="001054EA"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Thompson, C., Kim, R., Aloe, A., &amp; Becker, J. (2017). </w:t>
      </w:r>
      <w:r w:rsidRPr="003A6806">
        <w:rPr>
          <w:rFonts w:ascii="Times New Roman" w:hAnsi="Times New Roman" w:cs="Times New Roman"/>
          <w:sz w:val="24"/>
          <w:szCs w:val="24"/>
        </w:rPr>
        <w:t xml:space="preserve">Extracting the </w:t>
      </w:r>
      <w:r>
        <w:rPr>
          <w:rFonts w:ascii="Times New Roman" w:hAnsi="Times New Roman" w:cs="Times New Roman"/>
          <w:sz w:val="24"/>
          <w:szCs w:val="24"/>
        </w:rPr>
        <w:t xml:space="preserve">variance inflation factor </w:t>
      </w:r>
    </w:p>
    <w:p w14:paraId="15EA4633" w14:textId="6FB9CADA" w:rsidR="001054EA" w:rsidRPr="003A6806" w:rsidRDefault="001054EA" w:rsidP="00BA4A2D">
      <w:pPr>
        <w:widowControl w:val="0"/>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and other multicollinearity diagnostics from typical regression results. </w:t>
      </w:r>
      <w:r>
        <w:rPr>
          <w:rFonts w:ascii="Times New Roman" w:hAnsi="Times New Roman" w:cs="Times New Roman"/>
          <w:i/>
          <w:sz w:val="24"/>
          <w:szCs w:val="24"/>
        </w:rPr>
        <w:t xml:space="preserve">Basic and Applied Social Psychology, </w:t>
      </w:r>
      <w:r w:rsidR="006B24F4">
        <w:rPr>
          <w:rFonts w:ascii="Times New Roman" w:hAnsi="Times New Roman" w:cs="Times New Roman"/>
          <w:i/>
          <w:sz w:val="24"/>
          <w:szCs w:val="24"/>
        </w:rPr>
        <w:t>39</w:t>
      </w:r>
      <w:r w:rsidR="006B24F4">
        <w:rPr>
          <w:rFonts w:ascii="Times New Roman" w:hAnsi="Times New Roman" w:cs="Times New Roman"/>
          <w:sz w:val="24"/>
          <w:szCs w:val="24"/>
        </w:rPr>
        <w:t>(2), 81-90.</w:t>
      </w:r>
    </w:p>
    <w:p w14:paraId="070F2625" w14:textId="1101ADCE" w:rsidR="008C049E" w:rsidRDefault="008C049E" w:rsidP="00BA4A2D">
      <w:pPr>
        <w:widowControl w:val="0"/>
        <w:spacing w:after="0" w:line="480" w:lineRule="auto"/>
        <w:rPr>
          <w:rFonts w:ascii="Times New Roman" w:hAnsi="Times New Roman" w:cs="Times New Roman"/>
          <w:bCs/>
          <w:i/>
          <w:color w:val="333333"/>
          <w:sz w:val="24"/>
          <w:szCs w:val="24"/>
          <w:shd w:val="clear" w:color="auto" w:fill="FFFFFF"/>
        </w:rPr>
      </w:pPr>
      <w:r>
        <w:rPr>
          <w:rFonts w:ascii="Times New Roman" w:hAnsi="Times New Roman" w:cs="Times New Roman"/>
          <w:sz w:val="24"/>
          <w:szCs w:val="24"/>
        </w:rPr>
        <w:t>U</w:t>
      </w:r>
      <w:r w:rsidR="00AF506D">
        <w:rPr>
          <w:rFonts w:ascii="Times New Roman" w:hAnsi="Times New Roman" w:cs="Times New Roman"/>
          <w:sz w:val="24"/>
          <w:szCs w:val="24"/>
        </w:rPr>
        <w:t>.</w:t>
      </w:r>
      <w:r>
        <w:rPr>
          <w:rFonts w:ascii="Times New Roman" w:hAnsi="Times New Roman" w:cs="Times New Roman"/>
          <w:sz w:val="24"/>
          <w:szCs w:val="24"/>
        </w:rPr>
        <w:t>S</w:t>
      </w:r>
      <w:r w:rsidR="00AF506D">
        <w:rPr>
          <w:rFonts w:ascii="Times New Roman" w:hAnsi="Times New Roman" w:cs="Times New Roman"/>
          <w:sz w:val="24"/>
          <w:szCs w:val="24"/>
        </w:rPr>
        <w:t>.</w:t>
      </w:r>
      <w:r>
        <w:rPr>
          <w:rFonts w:ascii="Times New Roman" w:hAnsi="Times New Roman" w:cs="Times New Roman"/>
          <w:sz w:val="24"/>
          <w:szCs w:val="24"/>
        </w:rPr>
        <w:t xml:space="preserve"> </w:t>
      </w:r>
      <w:r w:rsidRPr="00903766">
        <w:rPr>
          <w:rFonts w:ascii="Times New Roman" w:hAnsi="Times New Roman" w:cs="Times New Roman"/>
          <w:sz w:val="24"/>
          <w:szCs w:val="24"/>
        </w:rPr>
        <w:t>Bureau of Labor Statistics</w:t>
      </w:r>
      <w:r w:rsidR="00AF506D">
        <w:rPr>
          <w:rFonts w:ascii="Times New Roman" w:hAnsi="Times New Roman" w:cs="Times New Roman"/>
          <w:sz w:val="24"/>
          <w:szCs w:val="24"/>
        </w:rPr>
        <w:t>.</w:t>
      </w:r>
      <w:r w:rsidRPr="00903766">
        <w:rPr>
          <w:rFonts w:ascii="Times New Roman" w:hAnsi="Times New Roman" w:cs="Times New Roman"/>
          <w:sz w:val="24"/>
          <w:szCs w:val="24"/>
        </w:rPr>
        <w:t xml:space="preserve"> (2020). </w:t>
      </w:r>
      <w:r w:rsidRPr="00903766">
        <w:rPr>
          <w:rFonts w:ascii="Times New Roman" w:hAnsi="Times New Roman" w:cs="Times New Roman"/>
          <w:bCs/>
          <w:i/>
          <w:color w:val="333333"/>
          <w:sz w:val="24"/>
          <w:szCs w:val="24"/>
          <w:shd w:val="clear" w:color="auto" w:fill="FFFFFF"/>
        </w:rPr>
        <w:t xml:space="preserve">Computer and </w:t>
      </w:r>
      <w:r w:rsidR="00AF506D">
        <w:rPr>
          <w:rFonts w:ascii="Times New Roman" w:hAnsi="Times New Roman" w:cs="Times New Roman"/>
          <w:bCs/>
          <w:i/>
          <w:color w:val="333333"/>
          <w:sz w:val="24"/>
          <w:szCs w:val="24"/>
          <w:shd w:val="clear" w:color="auto" w:fill="FFFFFF"/>
        </w:rPr>
        <w:t>i</w:t>
      </w:r>
      <w:r w:rsidRPr="00903766">
        <w:rPr>
          <w:rFonts w:ascii="Times New Roman" w:hAnsi="Times New Roman" w:cs="Times New Roman"/>
          <w:bCs/>
          <w:i/>
          <w:color w:val="333333"/>
          <w:sz w:val="24"/>
          <w:szCs w:val="24"/>
          <w:shd w:val="clear" w:color="auto" w:fill="FFFFFF"/>
        </w:rPr>
        <w:t xml:space="preserve">nformation </w:t>
      </w:r>
      <w:r w:rsidR="00AF506D">
        <w:rPr>
          <w:rFonts w:ascii="Times New Roman" w:hAnsi="Times New Roman" w:cs="Times New Roman"/>
          <w:bCs/>
          <w:i/>
          <w:color w:val="333333"/>
          <w:sz w:val="24"/>
          <w:szCs w:val="24"/>
          <w:shd w:val="clear" w:color="auto" w:fill="FFFFFF"/>
        </w:rPr>
        <w:t>t</w:t>
      </w:r>
      <w:r w:rsidRPr="00903766">
        <w:rPr>
          <w:rFonts w:ascii="Times New Roman" w:hAnsi="Times New Roman" w:cs="Times New Roman"/>
          <w:bCs/>
          <w:i/>
          <w:color w:val="333333"/>
          <w:sz w:val="24"/>
          <w:szCs w:val="24"/>
          <w:shd w:val="clear" w:color="auto" w:fill="FFFFFF"/>
        </w:rPr>
        <w:t xml:space="preserve">echnology </w:t>
      </w:r>
      <w:r w:rsidR="00AF506D">
        <w:rPr>
          <w:rFonts w:ascii="Times New Roman" w:hAnsi="Times New Roman" w:cs="Times New Roman"/>
          <w:bCs/>
          <w:i/>
          <w:color w:val="333333"/>
          <w:sz w:val="24"/>
          <w:szCs w:val="24"/>
          <w:shd w:val="clear" w:color="auto" w:fill="FFFFFF"/>
        </w:rPr>
        <w:t>o</w:t>
      </w:r>
      <w:r w:rsidRPr="00903766">
        <w:rPr>
          <w:rFonts w:ascii="Times New Roman" w:hAnsi="Times New Roman" w:cs="Times New Roman"/>
          <w:bCs/>
          <w:i/>
          <w:color w:val="333333"/>
          <w:sz w:val="24"/>
          <w:szCs w:val="24"/>
          <w:shd w:val="clear" w:color="auto" w:fill="FFFFFF"/>
        </w:rPr>
        <w:t xml:space="preserve">ccupations: </w:t>
      </w:r>
    </w:p>
    <w:p w14:paraId="6B36FC22" w14:textId="1F4603D6" w:rsidR="008C049E" w:rsidRPr="00903766" w:rsidRDefault="008C049E" w:rsidP="00BA4A2D">
      <w:pPr>
        <w:widowControl w:val="0"/>
        <w:spacing w:after="0" w:line="480" w:lineRule="auto"/>
        <w:ind w:left="720"/>
        <w:rPr>
          <w:rFonts w:ascii="Times New Roman" w:hAnsi="Times New Roman" w:cs="Times New Roman"/>
          <w:sz w:val="24"/>
          <w:szCs w:val="24"/>
        </w:rPr>
      </w:pPr>
      <w:r w:rsidRPr="00903766">
        <w:rPr>
          <w:rFonts w:ascii="Times New Roman" w:hAnsi="Times New Roman" w:cs="Times New Roman"/>
          <w:bCs/>
          <w:i/>
          <w:color w:val="333333"/>
          <w:sz w:val="24"/>
          <w:szCs w:val="24"/>
          <w:shd w:val="clear" w:color="auto" w:fill="FFFFFF"/>
        </w:rPr>
        <w:t xml:space="preserve">Occupational </w:t>
      </w:r>
      <w:r w:rsidR="00AF506D">
        <w:rPr>
          <w:rFonts w:ascii="Times New Roman" w:hAnsi="Times New Roman" w:cs="Times New Roman"/>
          <w:bCs/>
          <w:i/>
          <w:color w:val="333333"/>
          <w:sz w:val="24"/>
          <w:szCs w:val="24"/>
          <w:shd w:val="clear" w:color="auto" w:fill="FFFFFF"/>
        </w:rPr>
        <w:t>o</w:t>
      </w:r>
      <w:r w:rsidRPr="00903766">
        <w:rPr>
          <w:rFonts w:ascii="Times New Roman" w:hAnsi="Times New Roman" w:cs="Times New Roman"/>
          <w:bCs/>
          <w:i/>
          <w:color w:val="333333"/>
          <w:sz w:val="24"/>
          <w:szCs w:val="24"/>
          <w:shd w:val="clear" w:color="auto" w:fill="FFFFFF"/>
        </w:rPr>
        <w:t xml:space="preserve">utlook </w:t>
      </w:r>
      <w:r w:rsidR="00AF506D">
        <w:rPr>
          <w:rFonts w:ascii="Times New Roman" w:hAnsi="Times New Roman" w:cs="Times New Roman"/>
          <w:bCs/>
          <w:i/>
          <w:color w:val="333333"/>
          <w:sz w:val="24"/>
          <w:szCs w:val="24"/>
          <w:shd w:val="clear" w:color="auto" w:fill="FFFFFF"/>
        </w:rPr>
        <w:t>h</w:t>
      </w:r>
      <w:r w:rsidRPr="00903766">
        <w:rPr>
          <w:rFonts w:ascii="Times New Roman" w:hAnsi="Times New Roman" w:cs="Times New Roman"/>
          <w:bCs/>
          <w:i/>
          <w:color w:val="333333"/>
          <w:sz w:val="24"/>
          <w:szCs w:val="24"/>
          <w:shd w:val="clear" w:color="auto" w:fill="FFFFFF"/>
        </w:rPr>
        <w:t>andbook.</w:t>
      </w:r>
      <w:r>
        <w:rPr>
          <w:rFonts w:ascii="Times New Roman" w:hAnsi="Times New Roman" w:cs="Times New Roman"/>
          <w:bCs/>
          <w:color w:val="333333"/>
          <w:sz w:val="24"/>
          <w:szCs w:val="24"/>
          <w:shd w:val="clear" w:color="auto" w:fill="FFFFFF"/>
        </w:rPr>
        <w:t xml:space="preserve"> </w:t>
      </w:r>
      <w:r w:rsidR="00A66A1B" w:rsidRPr="00EE6293">
        <w:rPr>
          <w:rFonts w:ascii="Times New Roman" w:hAnsi="Times New Roman" w:cs="Times New Roman"/>
          <w:bCs/>
          <w:color w:val="333333"/>
          <w:sz w:val="24"/>
          <w:szCs w:val="24"/>
          <w:shd w:val="clear" w:color="auto" w:fill="FFFFFF"/>
        </w:rPr>
        <w:t>https://www.bls.gov/ooh/computer-and-information-technology/home.htm</w:t>
      </w:r>
      <w:r>
        <w:rPr>
          <w:rFonts w:ascii="Times New Roman" w:hAnsi="Times New Roman" w:cs="Times New Roman"/>
          <w:bCs/>
          <w:color w:val="333333"/>
          <w:sz w:val="24"/>
          <w:szCs w:val="24"/>
          <w:shd w:val="clear" w:color="auto" w:fill="FFFFFF"/>
        </w:rPr>
        <w:t xml:space="preserve">. </w:t>
      </w:r>
    </w:p>
    <w:p w14:paraId="014AD75F" w14:textId="51699635" w:rsidR="008C049E" w:rsidRDefault="008C049E" w:rsidP="00BA4A2D">
      <w:pPr>
        <w:widowControl w:val="0"/>
        <w:spacing w:after="0" w:line="480" w:lineRule="auto"/>
        <w:rPr>
          <w:rFonts w:ascii="Times New Roman" w:hAnsi="Times New Roman" w:cs="Times New Roman"/>
          <w:bCs/>
          <w:i/>
          <w:color w:val="333333"/>
          <w:sz w:val="24"/>
          <w:szCs w:val="24"/>
          <w:shd w:val="clear" w:color="auto" w:fill="FFFFFF"/>
        </w:rPr>
      </w:pPr>
      <w:r>
        <w:rPr>
          <w:rFonts w:ascii="Times New Roman" w:hAnsi="Times New Roman" w:cs="Times New Roman"/>
          <w:sz w:val="24"/>
          <w:szCs w:val="24"/>
        </w:rPr>
        <w:t>U</w:t>
      </w:r>
      <w:r w:rsidR="00AF506D">
        <w:rPr>
          <w:rFonts w:ascii="Times New Roman" w:hAnsi="Times New Roman" w:cs="Times New Roman"/>
          <w:sz w:val="24"/>
          <w:szCs w:val="24"/>
        </w:rPr>
        <w:t>.</w:t>
      </w:r>
      <w:r>
        <w:rPr>
          <w:rFonts w:ascii="Times New Roman" w:hAnsi="Times New Roman" w:cs="Times New Roman"/>
          <w:sz w:val="24"/>
          <w:szCs w:val="24"/>
        </w:rPr>
        <w:t>S</w:t>
      </w:r>
      <w:r w:rsidR="00AF506D">
        <w:rPr>
          <w:rFonts w:ascii="Times New Roman" w:hAnsi="Times New Roman" w:cs="Times New Roman"/>
          <w:sz w:val="24"/>
          <w:szCs w:val="24"/>
        </w:rPr>
        <w:t>.</w:t>
      </w:r>
      <w:r>
        <w:rPr>
          <w:rFonts w:ascii="Times New Roman" w:hAnsi="Times New Roman" w:cs="Times New Roman"/>
          <w:sz w:val="24"/>
          <w:szCs w:val="24"/>
        </w:rPr>
        <w:t xml:space="preserve"> </w:t>
      </w:r>
      <w:r w:rsidRPr="00903766">
        <w:rPr>
          <w:rFonts w:ascii="Times New Roman" w:hAnsi="Times New Roman" w:cs="Times New Roman"/>
          <w:sz w:val="24"/>
          <w:szCs w:val="24"/>
        </w:rPr>
        <w:t xml:space="preserve">Bureau of Labor </w:t>
      </w:r>
      <w:r>
        <w:rPr>
          <w:rFonts w:ascii="Times New Roman" w:hAnsi="Times New Roman" w:cs="Times New Roman"/>
          <w:sz w:val="24"/>
          <w:szCs w:val="24"/>
        </w:rPr>
        <w:t xml:space="preserve">Statistics </w:t>
      </w:r>
      <w:r w:rsidRPr="00EE6293">
        <w:rPr>
          <w:rFonts w:ascii="Times New Roman" w:hAnsi="Times New Roman" w:cs="Times New Roman"/>
          <w:sz w:val="24"/>
          <w:szCs w:val="24"/>
        </w:rPr>
        <w:t>(2022).</w:t>
      </w:r>
      <w:r w:rsidRPr="00EE6293">
        <w:rPr>
          <w:rFonts w:ascii="Times New Roman" w:hAnsi="Times New Roman" w:cs="Times New Roman"/>
          <w:i/>
          <w:sz w:val="24"/>
          <w:szCs w:val="24"/>
        </w:rPr>
        <w:t xml:space="preserve"> </w:t>
      </w:r>
      <w:r w:rsidRPr="00EE6293">
        <w:rPr>
          <w:rFonts w:ascii="Times New Roman" w:hAnsi="Times New Roman" w:cs="Times New Roman"/>
          <w:bCs/>
          <w:i/>
          <w:color w:val="333333"/>
          <w:sz w:val="24"/>
          <w:szCs w:val="24"/>
          <w:shd w:val="clear" w:color="auto" w:fill="FFFFFF"/>
        </w:rPr>
        <w:t xml:space="preserve">Employed persons by detailed occupation, sex, race, and </w:t>
      </w:r>
    </w:p>
    <w:p w14:paraId="0EF9A304" w14:textId="6CA5AA47" w:rsidR="008C049E" w:rsidRPr="00903766" w:rsidRDefault="008C049E" w:rsidP="00BA4A2D">
      <w:pPr>
        <w:widowControl w:val="0"/>
        <w:spacing w:after="0" w:line="480" w:lineRule="auto"/>
        <w:ind w:firstLine="720"/>
        <w:rPr>
          <w:rFonts w:ascii="Times New Roman" w:hAnsi="Times New Roman" w:cs="Times New Roman"/>
          <w:sz w:val="24"/>
          <w:szCs w:val="24"/>
        </w:rPr>
      </w:pPr>
      <w:r w:rsidRPr="00EE6293">
        <w:rPr>
          <w:rFonts w:ascii="Times New Roman" w:hAnsi="Times New Roman" w:cs="Times New Roman"/>
          <w:bCs/>
          <w:i/>
          <w:color w:val="333333"/>
          <w:sz w:val="24"/>
          <w:szCs w:val="24"/>
          <w:shd w:val="clear" w:color="auto" w:fill="FFFFFF"/>
        </w:rPr>
        <w:t>Hispanic or Latino ethnicity</w:t>
      </w:r>
      <w:r w:rsidRPr="004007D3">
        <w:rPr>
          <w:rFonts w:ascii="Times New Roman" w:hAnsi="Times New Roman" w:cs="Times New Roman"/>
          <w:bCs/>
          <w:i/>
          <w:color w:val="333333"/>
          <w:sz w:val="24"/>
          <w:szCs w:val="24"/>
          <w:shd w:val="clear" w:color="auto" w:fill="FFFFFF"/>
        </w:rPr>
        <w:t>.</w:t>
      </w:r>
      <w:r>
        <w:rPr>
          <w:rFonts w:ascii="Times New Roman" w:hAnsi="Times New Roman" w:cs="Times New Roman"/>
          <w:bCs/>
          <w:color w:val="333333"/>
          <w:sz w:val="24"/>
          <w:szCs w:val="24"/>
          <w:shd w:val="clear" w:color="auto" w:fill="FFFFFF"/>
        </w:rPr>
        <w:t xml:space="preserve"> </w:t>
      </w:r>
      <w:r w:rsidR="00A66A1B" w:rsidRPr="00EE6293">
        <w:rPr>
          <w:rFonts w:ascii="Times New Roman" w:hAnsi="Times New Roman" w:cs="Times New Roman"/>
          <w:bCs/>
          <w:color w:val="333333"/>
          <w:sz w:val="24"/>
          <w:szCs w:val="24"/>
          <w:shd w:val="clear" w:color="auto" w:fill="FFFFFF"/>
        </w:rPr>
        <w:t>https://www.bls.gov/cps/cpsaat11.htm</w:t>
      </w:r>
      <w:r>
        <w:rPr>
          <w:rFonts w:ascii="Times New Roman" w:hAnsi="Times New Roman" w:cs="Times New Roman"/>
          <w:bCs/>
          <w:color w:val="333333"/>
          <w:sz w:val="24"/>
          <w:szCs w:val="24"/>
          <w:shd w:val="clear" w:color="auto" w:fill="FFFFFF"/>
        </w:rPr>
        <w:t xml:space="preserve"> </w:t>
      </w:r>
    </w:p>
    <w:p w14:paraId="3656E195" w14:textId="5C0DE343" w:rsidR="000D279B" w:rsidRDefault="000D279B"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Usher, E. L.</w:t>
      </w:r>
      <w:r w:rsidR="00AF506D">
        <w:rPr>
          <w:rFonts w:ascii="Times New Roman" w:hAnsi="Times New Roman" w:cs="Times New Roman"/>
          <w:sz w:val="24"/>
          <w:szCs w:val="24"/>
        </w:rPr>
        <w:t xml:space="preserve"> (</w:t>
      </w:r>
      <w:r>
        <w:rPr>
          <w:rFonts w:ascii="Times New Roman" w:hAnsi="Times New Roman" w:cs="Times New Roman"/>
          <w:sz w:val="24"/>
          <w:szCs w:val="24"/>
        </w:rPr>
        <w:t xml:space="preserve">2009). Sources of middle school students’ self-efficacy in mathematics: A </w:t>
      </w:r>
    </w:p>
    <w:p w14:paraId="5865A834" w14:textId="1573DE94" w:rsidR="000D279B" w:rsidRPr="000D279B" w:rsidRDefault="000D279B"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qualitative investigation. </w:t>
      </w:r>
      <w:r>
        <w:rPr>
          <w:rFonts w:ascii="Times New Roman" w:hAnsi="Times New Roman" w:cs="Times New Roman"/>
          <w:i/>
          <w:sz w:val="24"/>
          <w:szCs w:val="24"/>
        </w:rPr>
        <w:t>American Education Research Journal, 46</w:t>
      </w:r>
      <w:r>
        <w:rPr>
          <w:rFonts w:ascii="Times New Roman" w:hAnsi="Times New Roman" w:cs="Times New Roman"/>
          <w:sz w:val="24"/>
          <w:szCs w:val="24"/>
        </w:rPr>
        <w:t>(1), 275-314.</w:t>
      </w:r>
    </w:p>
    <w:p w14:paraId="29A26830" w14:textId="2D4EB51B" w:rsidR="00AF506D" w:rsidRDefault="00FB41AA" w:rsidP="00AF506D">
      <w:pPr>
        <w:widowControl w:val="0"/>
        <w:spacing w:after="0" w:line="480" w:lineRule="auto"/>
        <w:rPr>
          <w:rFonts w:ascii="Times New Roman" w:hAnsi="Times New Roman" w:cs="Times New Roman"/>
          <w:sz w:val="24"/>
          <w:szCs w:val="24"/>
        </w:rPr>
      </w:pPr>
      <w:r w:rsidRPr="00610033">
        <w:rPr>
          <w:rFonts w:ascii="Times New Roman" w:hAnsi="Times New Roman" w:cs="Times New Roman"/>
          <w:sz w:val="24"/>
          <w:szCs w:val="24"/>
        </w:rPr>
        <w:t>Veloo, A., Nor, R</w:t>
      </w:r>
      <w:r w:rsidR="00D91A46">
        <w:rPr>
          <w:rFonts w:ascii="Times New Roman" w:hAnsi="Times New Roman" w:cs="Times New Roman"/>
          <w:sz w:val="24"/>
          <w:szCs w:val="24"/>
        </w:rPr>
        <w:t>., &amp;</w:t>
      </w:r>
      <w:r w:rsidRPr="00610033">
        <w:rPr>
          <w:rFonts w:ascii="Times New Roman" w:hAnsi="Times New Roman" w:cs="Times New Roman"/>
          <w:sz w:val="24"/>
          <w:szCs w:val="24"/>
        </w:rPr>
        <w:t xml:space="preserve"> Kahalid, R. (2015). Attitude towards physics and additional mathematics </w:t>
      </w:r>
    </w:p>
    <w:p w14:paraId="22FC5C8B" w14:textId="749F984B" w:rsidR="00FB41AA" w:rsidRDefault="00FB41AA" w:rsidP="00BA4A2D">
      <w:pPr>
        <w:widowControl w:val="0"/>
        <w:spacing w:after="0" w:line="480" w:lineRule="auto"/>
        <w:ind w:firstLine="720"/>
      </w:pPr>
      <w:r w:rsidRPr="00610033">
        <w:rPr>
          <w:rFonts w:ascii="Times New Roman" w:hAnsi="Times New Roman" w:cs="Times New Roman"/>
          <w:sz w:val="24"/>
          <w:szCs w:val="24"/>
        </w:rPr>
        <w:t xml:space="preserve">achievement towards physics achievement. </w:t>
      </w:r>
      <w:r w:rsidRPr="00610033">
        <w:rPr>
          <w:rFonts w:ascii="Times New Roman" w:hAnsi="Times New Roman" w:cs="Times New Roman"/>
          <w:i/>
          <w:sz w:val="24"/>
          <w:szCs w:val="24"/>
        </w:rPr>
        <w:t>International Education Studies, 8</w:t>
      </w:r>
      <w:r w:rsidRPr="00610033">
        <w:rPr>
          <w:rFonts w:ascii="Times New Roman" w:hAnsi="Times New Roman" w:cs="Times New Roman"/>
          <w:sz w:val="24"/>
          <w:szCs w:val="24"/>
        </w:rPr>
        <w:t>(3), 35-43.</w:t>
      </w:r>
    </w:p>
    <w:p w14:paraId="4C640A4C" w14:textId="77777777" w:rsidR="006B0EB7" w:rsidRDefault="00FE59E4" w:rsidP="000943B8">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Vermeer, H. J., Boekaerts, M., &amp; Seegers, G. (2000). Motivational and gender differences: </w:t>
      </w:r>
    </w:p>
    <w:p w14:paraId="114DD7D3" w14:textId="1EC130B6" w:rsidR="00FE59E4" w:rsidRDefault="006B0EB7" w:rsidP="00BA4A2D">
      <w:pPr>
        <w:widowControl w:val="0"/>
        <w:spacing w:after="0" w:line="480" w:lineRule="auto"/>
        <w:ind w:firstLine="720"/>
        <w:rPr>
          <w:rFonts w:ascii="Times New Roman" w:hAnsi="Times New Roman" w:cs="Times New Roman"/>
          <w:i/>
          <w:sz w:val="24"/>
          <w:szCs w:val="24"/>
        </w:rPr>
      </w:pPr>
      <w:r>
        <w:rPr>
          <w:rFonts w:ascii="Times New Roman" w:hAnsi="Times New Roman" w:cs="Times New Roman"/>
          <w:sz w:val="24"/>
          <w:szCs w:val="24"/>
        </w:rPr>
        <w:t>S</w:t>
      </w:r>
      <w:r w:rsidR="00FE59E4">
        <w:rPr>
          <w:rFonts w:ascii="Times New Roman" w:hAnsi="Times New Roman" w:cs="Times New Roman"/>
          <w:sz w:val="24"/>
          <w:szCs w:val="24"/>
        </w:rPr>
        <w:t xml:space="preserve">ixth-grade students’ mathematical problem-solving behavior. </w:t>
      </w:r>
      <w:r w:rsidR="00FE59E4">
        <w:rPr>
          <w:rFonts w:ascii="Times New Roman" w:hAnsi="Times New Roman" w:cs="Times New Roman"/>
          <w:i/>
          <w:sz w:val="24"/>
          <w:szCs w:val="24"/>
        </w:rPr>
        <w:t xml:space="preserve">Journal of Educational </w:t>
      </w:r>
    </w:p>
    <w:p w14:paraId="27B46C92" w14:textId="4BBA56B7" w:rsidR="00FE59E4" w:rsidRPr="00FE59E4" w:rsidRDefault="00FE59E4" w:rsidP="00BA4A2D">
      <w:pPr>
        <w:widowControl w:val="0"/>
        <w:spacing w:after="0" w:line="480" w:lineRule="auto"/>
        <w:rPr>
          <w:rFonts w:ascii="Times New Roman" w:hAnsi="Times New Roman" w:cs="Times New Roman"/>
          <w:sz w:val="24"/>
          <w:szCs w:val="24"/>
        </w:rPr>
      </w:pPr>
      <w:r>
        <w:rPr>
          <w:rFonts w:ascii="Times New Roman" w:hAnsi="Times New Roman" w:cs="Times New Roman"/>
          <w:i/>
          <w:sz w:val="24"/>
          <w:szCs w:val="24"/>
        </w:rPr>
        <w:tab/>
        <w:t>Psychology, 92</w:t>
      </w:r>
      <w:r>
        <w:rPr>
          <w:rFonts w:ascii="Times New Roman" w:hAnsi="Times New Roman" w:cs="Times New Roman"/>
          <w:sz w:val="24"/>
          <w:szCs w:val="24"/>
        </w:rPr>
        <w:t>(2), 308-315.</w:t>
      </w:r>
    </w:p>
    <w:p w14:paraId="2D6492D4" w14:textId="4A5F28B1" w:rsidR="00EE6293" w:rsidRPr="00BA4A2D" w:rsidRDefault="004007D3" w:rsidP="00BA4A2D">
      <w:pPr>
        <w:widowControl w:val="0"/>
        <w:spacing w:after="0" w:line="480" w:lineRule="auto"/>
        <w:rPr>
          <w:rFonts w:ascii="Times New Roman" w:hAnsi="Times New Roman" w:cs="Times New Roman"/>
          <w:i/>
          <w:iCs/>
          <w:sz w:val="24"/>
          <w:szCs w:val="24"/>
        </w:rPr>
      </w:pPr>
      <w:r>
        <w:rPr>
          <w:rFonts w:ascii="Times New Roman" w:hAnsi="Times New Roman" w:cs="Times New Roman"/>
          <w:sz w:val="24"/>
          <w:szCs w:val="24"/>
        </w:rPr>
        <w:t>White, S</w:t>
      </w:r>
      <w:r w:rsidR="00AF506D">
        <w:rPr>
          <w:rFonts w:ascii="Times New Roman" w:hAnsi="Times New Roman" w:cs="Times New Roman"/>
          <w:sz w:val="24"/>
          <w:szCs w:val="24"/>
        </w:rPr>
        <w:t>.</w:t>
      </w:r>
      <w:r>
        <w:rPr>
          <w:rFonts w:ascii="Times New Roman" w:hAnsi="Times New Roman" w:cs="Times New Roman"/>
          <w:sz w:val="24"/>
          <w:szCs w:val="24"/>
        </w:rPr>
        <w:t xml:space="preserve">, &amp; Tesfaye, C. L. (2014). </w:t>
      </w:r>
      <w:r w:rsidRPr="00BA4A2D">
        <w:rPr>
          <w:rFonts w:ascii="Times New Roman" w:hAnsi="Times New Roman" w:cs="Times New Roman"/>
          <w:i/>
          <w:iCs/>
          <w:sz w:val="24"/>
          <w:szCs w:val="24"/>
        </w:rPr>
        <w:t xml:space="preserve">High school physics courses and enrollments: Results from </w:t>
      </w:r>
    </w:p>
    <w:p w14:paraId="4D948DA3" w14:textId="74767461" w:rsidR="009E38D7" w:rsidRDefault="00EE6293" w:rsidP="00BA4A2D">
      <w:pPr>
        <w:widowControl w:val="0"/>
        <w:spacing w:after="0" w:line="480" w:lineRule="auto"/>
        <w:rPr>
          <w:rFonts w:ascii="Times New Roman" w:hAnsi="Times New Roman" w:cs="Times New Roman"/>
          <w:sz w:val="24"/>
          <w:szCs w:val="24"/>
        </w:rPr>
      </w:pPr>
      <w:r w:rsidRPr="00BA4A2D">
        <w:rPr>
          <w:rFonts w:ascii="Times New Roman" w:hAnsi="Times New Roman" w:cs="Times New Roman"/>
          <w:i/>
          <w:iCs/>
          <w:sz w:val="24"/>
          <w:szCs w:val="24"/>
        </w:rPr>
        <w:tab/>
      </w:r>
      <w:r w:rsidR="004007D3" w:rsidRPr="00BA4A2D">
        <w:rPr>
          <w:rFonts w:ascii="Times New Roman" w:hAnsi="Times New Roman" w:cs="Times New Roman"/>
          <w:i/>
          <w:iCs/>
          <w:sz w:val="24"/>
          <w:szCs w:val="24"/>
        </w:rPr>
        <w:t>the 2012-2013 survey of high school physics teachers.</w:t>
      </w:r>
      <w:r w:rsidR="004007D3">
        <w:rPr>
          <w:rFonts w:ascii="Times New Roman" w:hAnsi="Times New Roman" w:cs="Times New Roman"/>
          <w:sz w:val="24"/>
          <w:szCs w:val="24"/>
        </w:rPr>
        <w:t xml:space="preserve"> </w:t>
      </w:r>
      <w:r w:rsidRPr="00BA4A2D">
        <w:rPr>
          <w:rFonts w:ascii="Times New Roman" w:hAnsi="Times New Roman" w:cs="Times New Roman"/>
          <w:iCs/>
          <w:sz w:val="24"/>
          <w:szCs w:val="24"/>
        </w:rPr>
        <w:t xml:space="preserve">American </w:t>
      </w:r>
      <w:r w:rsidR="00467A5D" w:rsidRPr="00BA4A2D">
        <w:rPr>
          <w:rFonts w:ascii="Times New Roman" w:hAnsi="Times New Roman" w:cs="Times New Roman"/>
          <w:iCs/>
          <w:sz w:val="24"/>
          <w:szCs w:val="24"/>
        </w:rPr>
        <w:t>Institute</w:t>
      </w:r>
      <w:r w:rsidRPr="00BA4A2D">
        <w:rPr>
          <w:rFonts w:ascii="Times New Roman" w:hAnsi="Times New Roman" w:cs="Times New Roman"/>
          <w:iCs/>
          <w:sz w:val="24"/>
          <w:szCs w:val="24"/>
        </w:rPr>
        <w:t xml:space="preserve"> of Physics</w:t>
      </w:r>
      <w:r w:rsidRPr="00AF506D">
        <w:rPr>
          <w:rFonts w:ascii="Times New Roman" w:hAnsi="Times New Roman" w:cs="Times New Roman"/>
          <w:iCs/>
          <w:sz w:val="24"/>
          <w:szCs w:val="24"/>
        </w:rPr>
        <w:t>.</w:t>
      </w:r>
      <w:r>
        <w:rPr>
          <w:rFonts w:ascii="Times New Roman" w:hAnsi="Times New Roman" w:cs="Times New Roman"/>
          <w:sz w:val="24"/>
          <w:szCs w:val="24"/>
        </w:rPr>
        <w:t xml:space="preserve"> </w:t>
      </w:r>
    </w:p>
    <w:p w14:paraId="012CEAB3" w14:textId="77777777" w:rsidR="00EA4495" w:rsidRDefault="009E38D7"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Windsong, E. A. (2018). Incorporating intersectionality into research design: An example using </w:t>
      </w:r>
    </w:p>
    <w:p w14:paraId="02537C40" w14:textId="7F5BAB44" w:rsidR="00EA4495" w:rsidRDefault="00EA4495"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009E38D7">
        <w:rPr>
          <w:rFonts w:ascii="Times New Roman" w:hAnsi="Times New Roman" w:cs="Times New Roman"/>
          <w:sz w:val="24"/>
          <w:szCs w:val="24"/>
        </w:rPr>
        <w:t xml:space="preserve">qualitative interviews. </w:t>
      </w:r>
      <w:r w:rsidR="009E38D7" w:rsidRPr="00EA4495">
        <w:rPr>
          <w:rFonts w:ascii="Times New Roman" w:hAnsi="Times New Roman" w:cs="Times New Roman"/>
          <w:i/>
          <w:sz w:val="24"/>
          <w:szCs w:val="24"/>
        </w:rPr>
        <w:t xml:space="preserve">International Journal of Social Research </w:t>
      </w:r>
      <w:r w:rsidR="00467A5D" w:rsidRPr="00EA4495">
        <w:rPr>
          <w:rFonts w:ascii="Times New Roman" w:hAnsi="Times New Roman" w:cs="Times New Roman"/>
          <w:i/>
          <w:sz w:val="24"/>
          <w:szCs w:val="24"/>
        </w:rPr>
        <w:t>Methodology</w:t>
      </w:r>
      <w:r w:rsidR="009E38D7" w:rsidRPr="00EA4495">
        <w:rPr>
          <w:rFonts w:ascii="Times New Roman" w:hAnsi="Times New Roman" w:cs="Times New Roman"/>
          <w:i/>
          <w:sz w:val="24"/>
          <w:szCs w:val="24"/>
        </w:rPr>
        <w:t xml:space="preserve">, </w:t>
      </w:r>
      <w:r w:rsidR="00A153E7">
        <w:rPr>
          <w:rFonts w:ascii="Times New Roman" w:hAnsi="Times New Roman" w:cs="Times New Roman"/>
          <w:i/>
          <w:sz w:val="24"/>
          <w:szCs w:val="24"/>
        </w:rPr>
        <w:t>21</w:t>
      </w:r>
      <w:r w:rsidR="00A153E7">
        <w:rPr>
          <w:rFonts w:ascii="Times New Roman" w:hAnsi="Times New Roman" w:cs="Times New Roman"/>
          <w:sz w:val="24"/>
          <w:szCs w:val="24"/>
        </w:rPr>
        <w:t>(2)</w:t>
      </w:r>
      <w:r w:rsidR="009E38D7">
        <w:rPr>
          <w:rFonts w:ascii="Times New Roman" w:hAnsi="Times New Roman" w:cs="Times New Roman"/>
          <w:sz w:val="24"/>
          <w:szCs w:val="24"/>
        </w:rPr>
        <w:t xml:space="preserve">, </w:t>
      </w:r>
    </w:p>
    <w:p w14:paraId="0F7DB6DF" w14:textId="77777777" w:rsidR="0071699F" w:rsidRDefault="009E38D7" w:rsidP="00BA4A2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135-147.</w:t>
      </w:r>
    </w:p>
    <w:p w14:paraId="21BF1941" w14:textId="77777777" w:rsidR="00601B6F" w:rsidRDefault="00601B6F"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Zhao, Y. (2021). Self-efficacy, belongingness, self-identity, and women’s persistence in </w:t>
      </w:r>
    </w:p>
    <w:p w14:paraId="6B57D082" w14:textId="44AA2E38" w:rsidR="00601B6F" w:rsidRPr="00601B6F" w:rsidRDefault="00601B6F"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undergraduate STEM majors: A review. </w:t>
      </w:r>
      <w:r>
        <w:rPr>
          <w:rFonts w:ascii="Times New Roman" w:hAnsi="Times New Roman" w:cs="Times New Roman"/>
          <w:i/>
          <w:sz w:val="24"/>
          <w:szCs w:val="24"/>
        </w:rPr>
        <w:t xml:space="preserve">CEDAR Yearbook, </w:t>
      </w:r>
      <w:r>
        <w:rPr>
          <w:rFonts w:ascii="Times New Roman" w:hAnsi="Times New Roman" w:cs="Times New Roman"/>
          <w:sz w:val="24"/>
          <w:szCs w:val="24"/>
        </w:rPr>
        <w:t>297-315.</w:t>
      </w:r>
    </w:p>
    <w:p w14:paraId="24AC1246" w14:textId="41C2DAFC" w:rsidR="0071699F" w:rsidRDefault="0071699F"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Zeldin, A. L., Britner, S. L., &amp; Pajares, F. (2008). A comparative study of the self-efficacy </w:t>
      </w:r>
    </w:p>
    <w:p w14:paraId="4995CB37" w14:textId="77777777" w:rsidR="0071699F" w:rsidRDefault="0071699F"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beliefs of successful men and women in mathematics, science, and technology careers. </w:t>
      </w:r>
    </w:p>
    <w:p w14:paraId="40F29E15" w14:textId="77777777" w:rsidR="001C6C68" w:rsidRDefault="0071699F"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Journal of Research in Science Teaching, 45</w:t>
      </w:r>
      <w:r>
        <w:rPr>
          <w:rFonts w:ascii="Times New Roman" w:hAnsi="Times New Roman" w:cs="Times New Roman"/>
          <w:sz w:val="24"/>
          <w:szCs w:val="24"/>
        </w:rPr>
        <w:t>(9), 1036-1058.</w:t>
      </w:r>
    </w:p>
    <w:p w14:paraId="3546B031" w14:textId="2CE54A7E" w:rsidR="00C3395D" w:rsidRDefault="00C3395D"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4676F937" w14:textId="23169B0B" w:rsidR="00FB41AA" w:rsidRPr="00DC1A4F" w:rsidRDefault="00FB41AA" w:rsidP="00BA4A2D">
      <w:pPr>
        <w:pStyle w:val="Heading1"/>
        <w:jc w:val="center"/>
      </w:pPr>
      <w:bookmarkStart w:id="68" w:name="_Toc117501940"/>
      <w:r w:rsidRPr="00DC1A4F">
        <w:lastRenderedPageBreak/>
        <w:t xml:space="preserve">Appendix </w:t>
      </w:r>
      <w:r>
        <w:t>A</w:t>
      </w:r>
      <w:bookmarkEnd w:id="68"/>
    </w:p>
    <w:p w14:paraId="70D276A6" w14:textId="77777777" w:rsidR="00E0615F" w:rsidRDefault="00E0615F" w:rsidP="00BA4A2D">
      <w:pPr>
        <w:widowControl w:val="0"/>
        <w:spacing w:after="0" w:line="240" w:lineRule="auto"/>
        <w:jc w:val="center"/>
        <w:rPr>
          <w:rFonts w:ascii="Times New Roman" w:hAnsi="Times New Roman" w:cs="Times New Roman"/>
          <w:sz w:val="24"/>
          <w:szCs w:val="24"/>
        </w:rPr>
      </w:pPr>
      <w:r w:rsidRPr="00DC1A4F">
        <w:rPr>
          <w:rFonts w:ascii="Times New Roman" w:hAnsi="Times New Roman" w:cs="Times New Roman"/>
          <w:sz w:val="24"/>
          <w:szCs w:val="24"/>
        </w:rPr>
        <w:t>Participant Demographics Survey</w:t>
      </w:r>
    </w:p>
    <w:p w14:paraId="551EB152" w14:textId="0AFE024A" w:rsidR="00E0615F" w:rsidRDefault="00E0615F" w:rsidP="00BA4A2D">
      <w:pPr>
        <w:widowControl w:val="0"/>
        <w:spacing w:after="0" w:line="240" w:lineRule="auto"/>
        <w:rPr>
          <w:rFonts w:ascii="Times New Roman" w:hAnsi="Times New Roman" w:cs="Times New Roman"/>
          <w:sz w:val="24"/>
          <w:szCs w:val="24"/>
        </w:rPr>
      </w:pPr>
      <w:r w:rsidRPr="00DC1A4F">
        <w:rPr>
          <w:rFonts w:ascii="Times New Roman" w:hAnsi="Times New Roman" w:cs="Times New Roman"/>
          <w:b/>
          <w:sz w:val="24"/>
          <w:szCs w:val="24"/>
          <w:u w:val="single"/>
        </w:rPr>
        <w:t>Directions:</w:t>
      </w:r>
      <w:r>
        <w:rPr>
          <w:rFonts w:ascii="Times New Roman" w:hAnsi="Times New Roman" w:cs="Times New Roman"/>
          <w:sz w:val="24"/>
          <w:szCs w:val="24"/>
        </w:rPr>
        <w:t xml:space="preserve"> Answer all questions to the best of your knowledge on the included bubble sheet.  Be sure to bubble in your school ID number in the upper left corner of the bubble sheet. All information gathered in this survey will be kept strictly confidential.</w:t>
      </w:r>
    </w:p>
    <w:p w14:paraId="158569BD" w14:textId="77777777" w:rsidR="00E0615F" w:rsidRDefault="00E0615F" w:rsidP="00BA4A2D">
      <w:pPr>
        <w:pStyle w:val="ListParagraph"/>
        <w:widowControl w:val="0"/>
        <w:numPr>
          <w:ilvl w:val="0"/>
          <w:numId w:val="4"/>
        </w:numPr>
      </w:pPr>
      <w:r>
        <w:t>Please indicate the gender you identify most with.</w:t>
      </w:r>
    </w:p>
    <w:p w14:paraId="3A362E0F" w14:textId="77777777" w:rsidR="00E0615F" w:rsidRPr="00176332" w:rsidRDefault="00E0615F" w:rsidP="00BA4A2D">
      <w:pPr>
        <w:pStyle w:val="ListParagraph"/>
        <w:widowControl w:val="0"/>
        <w:numPr>
          <w:ilvl w:val="1"/>
          <w:numId w:val="4"/>
        </w:numPr>
      </w:pPr>
      <w:r>
        <w:t>Woman</w:t>
      </w:r>
      <w:r>
        <w:tab/>
      </w:r>
      <w:r>
        <w:tab/>
        <w:t>b. Man</w:t>
      </w:r>
      <w:r>
        <w:tab/>
      </w:r>
      <w:r>
        <w:tab/>
      </w:r>
    </w:p>
    <w:p w14:paraId="4B91CA58" w14:textId="77777777" w:rsidR="00E0615F" w:rsidRDefault="00E0615F" w:rsidP="00BA4A2D">
      <w:pPr>
        <w:pStyle w:val="ListParagraph"/>
        <w:widowControl w:val="0"/>
        <w:ind w:left="1440"/>
      </w:pPr>
    </w:p>
    <w:p w14:paraId="330C6417" w14:textId="77777777" w:rsidR="00E0615F" w:rsidRDefault="00E0615F" w:rsidP="00BA4A2D">
      <w:pPr>
        <w:pStyle w:val="ListParagraph"/>
        <w:widowControl w:val="0"/>
        <w:numPr>
          <w:ilvl w:val="0"/>
          <w:numId w:val="4"/>
        </w:numPr>
      </w:pPr>
      <w:r>
        <w:t>Current age in years:</w:t>
      </w:r>
    </w:p>
    <w:p w14:paraId="7D68A330" w14:textId="77777777" w:rsidR="00E0615F" w:rsidRPr="00176332" w:rsidRDefault="00E0615F" w:rsidP="00BA4A2D">
      <w:pPr>
        <w:pStyle w:val="ListParagraph"/>
        <w:widowControl w:val="0"/>
        <w:numPr>
          <w:ilvl w:val="1"/>
          <w:numId w:val="4"/>
        </w:numPr>
      </w:pPr>
      <w:r>
        <w:t xml:space="preserve">15 </w:t>
      </w:r>
      <w:r>
        <w:tab/>
      </w:r>
      <w:r>
        <w:tab/>
        <w:t>b. 16</w:t>
      </w:r>
      <w:r>
        <w:tab/>
      </w:r>
      <w:r>
        <w:tab/>
      </w:r>
      <w:r>
        <w:tab/>
        <w:t>c. 17</w:t>
      </w:r>
      <w:r>
        <w:tab/>
      </w:r>
      <w:r>
        <w:tab/>
        <w:t>d. 18</w:t>
      </w:r>
    </w:p>
    <w:p w14:paraId="32496AAA" w14:textId="77777777" w:rsidR="00E0615F" w:rsidRDefault="00E0615F" w:rsidP="00BA4A2D">
      <w:pPr>
        <w:pStyle w:val="ListParagraph"/>
        <w:widowControl w:val="0"/>
        <w:ind w:left="1440"/>
      </w:pPr>
    </w:p>
    <w:p w14:paraId="458DC9E8" w14:textId="77777777" w:rsidR="00E0615F" w:rsidRDefault="00E0615F" w:rsidP="00BA4A2D">
      <w:pPr>
        <w:pStyle w:val="ListParagraph"/>
        <w:widowControl w:val="0"/>
        <w:numPr>
          <w:ilvl w:val="0"/>
          <w:numId w:val="4"/>
        </w:numPr>
      </w:pPr>
      <w:r>
        <w:t>Year in School</w:t>
      </w:r>
    </w:p>
    <w:p w14:paraId="6B87B46D" w14:textId="77777777" w:rsidR="00E0615F" w:rsidRDefault="00E0615F" w:rsidP="00BA4A2D">
      <w:pPr>
        <w:pStyle w:val="ListParagraph"/>
        <w:widowControl w:val="0"/>
        <w:numPr>
          <w:ilvl w:val="1"/>
          <w:numId w:val="4"/>
        </w:numPr>
      </w:pPr>
      <w:r w:rsidRPr="00176332">
        <w:t>Freshmen</w:t>
      </w:r>
      <w:r w:rsidRPr="00176332">
        <w:tab/>
        <w:t>b. Sophomore</w:t>
      </w:r>
      <w:r w:rsidRPr="00176332">
        <w:tab/>
      </w:r>
      <w:r>
        <w:tab/>
      </w:r>
      <w:r w:rsidRPr="00176332">
        <w:t>c. Junior</w:t>
      </w:r>
      <w:r w:rsidRPr="00176332">
        <w:tab/>
        <w:t>d. Senior</w:t>
      </w:r>
    </w:p>
    <w:p w14:paraId="5021B00F" w14:textId="77777777" w:rsidR="00E0615F" w:rsidRPr="002A2E8D" w:rsidRDefault="00E0615F" w:rsidP="00BA4A2D">
      <w:pPr>
        <w:pStyle w:val="ListParagraph"/>
        <w:widowControl w:val="0"/>
        <w:ind w:left="1440"/>
      </w:pPr>
    </w:p>
    <w:p w14:paraId="376C1008" w14:textId="77777777" w:rsidR="00E0615F" w:rsidRDefault="00E0615F" w:rsidP="00BA4A2D">
      <w:pPr>
        <w:pStyle w:val="ListParagraph"/>
        <w:widowControl w:val="0"/>
        <w:numPr>
          <w:ilvl w:val="0"/>
          <w:numId w:val="4"/>
        </w:numPr>
      </w:pPr>
      <w:r>
        <w:t>Current Mathematics course enrollment:</w:t>
      </w:r>
    </w:p>
    <w:p w14:paraId="47AFE1EA" w14:textId="77777777" w:rsidR="00E0615F" w:rsidRDefault="00E0615F" w:rsidP="00BA4A2D">
      <w:pPr>
        <w:pStyle w:val="ListParagraph"/>
        <w:widowControl w:val="0"/>
        <w:numPr>
          <w:ilvl w:val="1"/>
          <w:numId w:val="4"/>
        </w:numPr>
      </w:pPr>
      <w:r>
        <w:t>Algebra 2 with Trigonometry Prep</w:t>
      </w:r>
    </w:p>
    <w:p w14:paraId="417AB423" w14:textId="77777777" w:rsidR="00E0615F" w:rsidRDefault="00E0615F" w:rsidP="00BA4A2D">
      <w:pPr>
        <w:pStyle w:val="ListParagraph"/>
        <w:widowControl w:val="0"/>
        <w:numPr>
          <w:ilvl w:val="1"/>
          <w:numId w:val="4"/>
        </w:numPr>
      </w:pPr>
      <w:r>
        <w:t>Algebra 2 with Trigonometry Accel</w:t>
      </w:r>
    </w:p>
    <w:p w14:paraId="1B5D6C4C" w14:textId="77777777" w:rsidR="00E0615F" w:rsidRDefault="00E0615F" w:rsidP="00BA4A2D">
      <w:pPr>
        <w:pStyle w:val="ListParagraph"/>
        <w:widowControl w:val="0"/>
        <w:numPr>
          <w:ilvl w:val="1"/>
          <w:numId w:val="4"/>
        </w:numPr>
      </w:pPr>
      <w:r>
        <w:t>Algebra 2 with Trigonometry Honors</w:t>
      </w:r>
    </w:p>
    <w:p w14:paraId="6A106152" w14:textId="77777777" w:rsidR="00E0615F" w:rsidRDefault="00E0615F" w:rsidP="00BA4A2D">
      <w:pPr>
        <w:pStyle w:val="ListParagraph"/>
        <w:widowControl w:val="0"/>
        <w:numPr>
          <w:ilvl w:val="1"/>
          <w:numId w:val="4"/>
        </w:numPr>
      </w:pPr>
      <w:r>
        <w:t>Pre-Calculus Prep</w:t>
      </w:r>
    </w:p>
    <w:p w14:paraId="11726C18" w14:textId="77777777" w:rsidR="00E0615F" w:rsidRDefault="00E0615F" w:rsidP="00BA4A2D">
      <w:pPr>
        <w:pStyle w:val="ListParagraph"/>
        <w:widowControl w:val="0"/>
        <w:numPr>
          <w:ilvl w:val="1"/>
          <w:numId w:val="4"/>
        </w:numPr>
      </w:pPr>
      <w:r>
        <w:t>Pre-Calculus Accel</w:t>
      </w:r>
    </w:p>
    <w:p w14:paraId="6DA99E5F" w14:textId="77777777" w:rsidR="00E0615F" w:rsidRDefault="00E0615F" w:rsidP="00BA4A2D">
      <w:pPr>
        <w:pStyle w:val="ListParagraph"/>
        <w:widowControl w:val="0"/>
        <w:numPr>
          <w:ilvl w:val="1"/>
          <w:numId w:val="4"/>
        </w:numPr>
      </w:pPr>
      <w:r>
        <w:t>Pre-Calculus Honors</w:t>
      </w:r>
    </w:p>
    <w:p w14:paraId="1F2D918F" w14:textId="77777777" w:rsidR="00E0615F" w:rsidRDefault="00E0615F" w:rsidP="00BA4A2D">
      <w:pPr>
        <w:pStyle w:val="ListParagraph"/>
        <w:widowControl w:val="0"/>
        <w:numPr>
          <w:ilvl w:val="1"/>
          <w:numId w:val="4"/>
        </w:numPr>
      </w:pPr>
      <w:r>
        <w:t>Advanced Placement Calculus AB</w:t>
      </w:r>
    </w:p>
    <w:p w14:paraId="3235D5EB" w14:textId="77777777" w:rsidR="00E0615F" w:rsidRDefault="00E0615F" w:rsidP="00BA4A2D">
      <w:pPr>
        <w:pStyle w:val="ListParagraph"/>
        <w:widowControl w:val="0"/>
        <w:numPr>
          <w:ilvl w:val="1"/>
          <w:numId w:val="4"/>
        </w:numPr>
      </w:pPr>
      <w:r>
        <w:t>Advanced Placement Calculus BC</w:t>
      </w:r>
    </w:p>
    <w:p w14:paraId="565C7056" w14:textId="77777777" w:rsidR="00E0615F" w:rsidRDefault="00E0615F" w:rsidP="00BA4A2D">
      <w:pPr>
        <w:pStyle w:val="ListParagraph"/>
        <w:widowControl w:val="0"/>
        <w:ind w:left="1440"/>
      </w:pPr>
    </w:p>
    <w:p w14:paraId="334E7686" w14:textId="77777777" w:rsidR="00E0615F" w:rsidRDefault="00E0615F" w:rsidP="00BA4A2D">
      <w:pPr>
        <w:pStyle w:val="ListParagraph"/>
        <w:widowControl w:val="0"/>
        <w:numPr>
          <w:ilvl w:val="0"/>
          <w:numId w:val="4"/>
        </w:numPr>
      </w:pPr>
      <w:r>
        <w:t>Science Course enrollment for next year (if more than one, bubble in each)</w:t>
      </w:r>
    </w:p>
    <w:p w14:paraId="6425C001" w14:textId="77777777" w:rsidR="00E0615F" w:rsidRDefault="00E0615F" w:rsidP="00BA4A2D">
      <w:pPr>
        <w:pStyle w:val="ListParagraph"/>
        <w:widowControl w:val="0"/>
        <w:numPr>
          <w:ilvl w:val="1"/>
          <w:numId w:val="4"/>
        </w:numPr>
      </w:pPr>
      <w:r>
        <w:t>Advanced Placement Physics C</w:t>
      </w:r>
    </w:p>
    <w:p w14:paraId="1743D197" w14:textId="77777777" w:rsidR="00E0615F" w:rsidRDefault="00E0615F" w:rsidP="00BA4A2D">
      <w:pPr>
        <w:pStyle w:val="ListParagraph"/>
        <w:widowControl w:val="0"/>
        <w:numPr>
          <w:ilvl w:val="1"/>
          <w:numId w:val="4"/>
        </w:numPr>
      </w:pPr>
      <w:r>
        <w:t>Advanced Placement Physics 1</w:t>
      </w:r>
    </w:p>
    <w:p w14:paraId="1FCC3E90" w14:textId="77777777" w:rsidR="00E0615F" w:rsidRDefault="00E0615F" w:rsidP="00BA4A2D">
      <w:pPr>
        <w:pStyle w:val="ListParagraph"/>
        <w:widowControl w:val="0"/>
        <w:numPr>
          <w:ilvl w:val="1"/>
          <w:numId w:val="4"/>
        </w:numPr>
      </w:pPr>
      <w:r>
        <w:t>Advanced Placement Biology</w:t>
      </w:r>
    </w:p>
    <w:p w14:paraId="7988D055" w14:textId="77777777" w:rsidR="00E0615F" w:rsidRDefault="00E0615F" w:rsidP="00BA4A2D">
      <w:pPr>
        <w:pStyle w:val="ListParagraph"/>
        <w:widowControl w:val="0"/>
        <w:numPr>
          <w:ilvl w:val="1"/>
          <w:numId w:val="4"/>
        </w:numPr>
      </w:pPr>
      <w:r>
        <w:t>Advanced Placement Chemistry</w:t>
      </w:r>
    </w:p>
    <w:p w14:paraId="10AD4BA9" w14:textId="77777777" w:rsidR="00E0615F" w:rsidRDefault="00E0615F" w:rsidP="00BA4A2D">
      <w:pPr>
        <w:pStyle w:val="ListParagraph"/>
        <w:widowControl w:val="0"/>
        <w:numPr>
          <w:ilvl w:val="1"/>
          <w:numId w:val="4"/>
        </w:numPr>
      </w:pPr>
      <w:r>
        <w:t>Advanced Placement Environmental Science</w:t>
      </w:r>
    </w:p>
    <w:p w14:paraId="633C52C2" w14:textId="77777777" w:rsidR="00E0615F" w:rsidRDefault="00E0615F" w:rsidP="00BA4A2D">
      <w:pPr>
        <w:pStyle w:val="ListParagraph"/>
        <w:widowControl w:val="0"/>
        <w:numPr>
          <w:ilvl w:val="1"/>
          <w:numId w:val="4"/>
        </w:numPr>
      </w:pPr>
      <w:r>
        <w:t>Astronomy Dual Credit</w:t>
      </w:r>
    </w:p>
    <w:p w14:paraId="1C3FB771" w14:textId="77777777" w:rsidR="00E0615F" w:rsidRDefault="00E0615F" w:rsidP="00BA4A2D">
      <w:pPr>
        <w:pStyle w:val="ListParagraph"/>
        <w:widowControl w:val="0"/>
        <w:numPr>
          <w:ilvl w:val="1"/>
          <w:numId w:val="4"/>
        </w:numPr>
      </w:pPr>
      <w:r>
        <w:t>Human Anatomy and Physiology</w:t>
      </w:r>
    </w:p>
    <w:p w14:paraId="536D3128" w14:textId="77777777" w:rsidR="00E0615F" w:rsidRDefault="00E0615F" w:rsidP="00BA4A2D">
      <w:pPr>
        <w:pStyle w:val="ListParagraph"/>
        <w:widowControl w:val="0"/>
        <w:numPr>
          <w:ilvl w:val="1"/>
          <w:numId w:val="4"/>
        </w:numPr>
      </w:pPr>
      <w:r>
        <w:t>Organic Chemistry</w:t>
      </w:r>
    </w:p>
    <w:p w14:paraId="1F03B3D5" w14:textId="77777777" w:rsidR="00E0615F" w:rsidRDefault="00E0615F" w:rsidP="00BA4A2D">
      <w:pPr>
        <w:pStyle w:val="ListParagraph"/>
        <w:widowControl w:val="0"/>
        <w:numPr>
          <w:ilvl w:val="1"/>
          <w:numId w:val="4"/>
        </w:numPr>
      </w:pPr>
      <w:r>
        <w:t>Forensics</w:t>
      </w:r>
    </w:p>
    <w:p w14:paraId="6C16C639" w14:textId="77777777" w:rsidR="00E0615F" w:rsidRDefault="00E0615F" w:rsidP="00BA4A2D">
      <w:pPr>
        <w:pStyle w:val="ListParagraph"/>
        <w:widowControl w:val="0"/>
        <w:numPr>
          <w:ilvl w:val="1"/>
          <w:numId w:val="4"/>
        </w:numPr>
      </w:pPr>
      <w:r>
        <w:t>Astronomy Prep</w:t>
      </w:r>
    </w:p>
    <w:p w14:paraId="40BF5C5D" w14:textId="77777777" w:rsidR="00E0615F" w:rsidRDefault="00E0615F" w:rsidP="00BA4A2D">
      <w:pPr>
        <w:pStyle w:val="ListParagraph"/>
        <w:widowControl w:val="0"/>
        <w:numPr>
          <w:ilvl w:val="1"/>
          <w:numId w:val="4"/>
        </w:numPr>
      </w:pPr>
      <w:r>
        <w:t>Environmental Science Prep</w:t>
      </w:r>
    </w:p>
    <w:p w14:paraId="084725BE" w14:textId="77777777" w:rsidR="00E0615F" w:rsidRDefault="00E0615F" w:rsidP="00BA4A2D">
      <w:pPr>
        <w:pStyle w:val="ListParagraph"/>
        <w:widowControl w:val="0"/>
        <w:numPr>
          <w:ilvl w:val="1"/>
          <w:numId w:val="4"/>
        </w:numPr>
      </w:pPr>
      <w:r w:rsidRPr="00FA54C4">
        <w:t>Geology Prep</w:t>
      </w:r>
    </w:p>
    <w:p w14:paraId="2C7FA837" w14:textId="77777777" w:rsidR="00E0615F" w:rsidRDefault="00E0615F" w:rsidP="00BA4A2D">
      <w:pPr>
        <w:pStyle w:val="ListParagraph"/>
        <w:widowControl w:val="0"/>
      </w:pPr>
    </w:p>
    <w:p w14:paraId="386516AE" w14:textId="77777777" w:rsidR="00E0615F" w:rsidRDefault="00E0615F" w:rsidP="00BA4A2D">
      <w:pPr>
        <w:pStyle w:val="ListParagraph"/>
        <w:widowControl w:val="0"/>
        <w:numPr>
          <w:ilvl w:val="0"/>
          <w:numId w:val="4"/>
        </w:numPr>
      </w:pPr>
      <w:r>
        <w:t>Enrollment in AP Physics C for the next school year</w:t>
      </w:r>
    </w:p>
    <w:p w14:paraId="1923DCBE" w14:textId="77777777" w:rsidR="00E0615F" w:rsidRPr="00FA54C4" w:rsidRDefault="00E0615F" w:rsidP="00BA4A2D">
      <w:pPr>
        <w:pStyle w:val="ListParagraph"/>
        <w:widowControl w:val="0"/>
        <w:numPr>
          <w:ilvl w:val="1"/>
          <w:numId w:val="4"/>
        </w:numPr>
      </w:pPr>
      <w:r>
        <w:t>Yes</w:t>
      </w:r>
      <w:r>
        <w:tab/>
      </w:r>
      <w:r>
        <w:tab/>
        <w:t>b.   No</w:t>
      </w:r>
    </w:p>
    <w:p w14:paraId="30782E9F" w14:textId="3E63E0C8" w:rsidR="00BE4178" w:rsidRDefault="00BE4178" w:rsidP="00BA4A2D">
      <w:pPr>
        <w:pStyle w:val="ListParagraph"/>
        <w:widowControl w:val="0"/>
        <w:spacing w:line="480" w:lineRule="auto"/>
        <w:ind w:left="1440"/>
      </w:pPr>
    </w:p>
    <w:p w14:paraId="7643291E" w14:textId="77777777" w:rsidR="00AF506D" w:rsidRDefault="00AF506D" w:rsidP="000943B8">
      <w:pPr>
        <w:widowControl w:val="0"/>
        <w:spacing w:after="0" w:line="480" w:lineRule="auto"/>
        <w:jc w:val="center"/>
        <w:rPr>
          <w:rFonts w:ascii="Times New Roman" w:hAnsi="Times New Roman" w:cs="Times New Roman"/>
          <w:sz w:val="24"/>
          <w:szCs w:val="24"/>
        </w:rPr>
      </w:pPr>
    </w:p>
    <w:p w14:paraId="03D84613" w14:textId="77777777" w:rsidR="00AF506D" w:rsidRDefault="00AF506D" w:rsidP="000943B8">
      <w:pPr>
        <w:widowControl w:val="0"/>
        <w:spacing w:after="0" w:line="480" w:lineRule="auto"/>
        <w:jc w:val="center"/>
        <w:rPr>
          <w:rFonts w:ascii="Times New Roman" w:hAnsi="Times New Roman" w:cs="Times New Roman"/>
          <w:sz w:val="24"/>
          <w:szCs w:val="24"/>
        </w:rPr>
      </w:pPr>
    </w:p>
    <w:p w14:paraId="51ECCAEF" w14:textId="7826CECB" w:rsidR="00FB41AA" w:rsidRPr="000E4B01" w:rsidRDefault="00FB41AA" w:rsidP="00BA4A2D">
      <w:pPr>
        <w:pStyle w:val="Heading1"/>
        <w:jc w:val="center"/>
      </w:pPr>
      <w:bookmarkStart w:id="69" w:name="_Toc117501941"/>
      <w:r w:rsidRPr="000E4B01">
        <w:lastRenderedPageBreak/>
        <w:t xml:space="preserve">Appendix </w:t>
      </w:r>
      <w:r>
        <w:t>B</w:t>
      </w:r>
      <w:bookmarkEnd w:id="69"/>
    </w:p>
    <w:p w14:paraId="043203FA" w14:textId="77777777" w:rsidR="00FB41AA" w:rsidRDefault="00FB41AA" w:rsidP="00BA4A2D">
      <w:pPr>
        <w:widowControl w:val="0"/>
        <w:spacing w:after="0" w:line="480" w:lineRule="auto"/>
        <w:jc w:val="center"/>
        <w:rPr>
          <w:rFonts w:ascii="Times New Roman" w:hAnsi="Times New Roman" w:cs="Times New Roman"/>
          <w:sz w:val="24"/>
          <w:szCs w:val="24"/>
        </w:rPr>
      </w:pPr>
      <w:r w:rsidRPr="000E4B01">
        <w:rPr>
          <w:rFonts w:ascii="Times New Roman" w:hAnsi="Times New Roman" w:cs="Times New Roman"/>
          <w:sz w:val="24"/>
          <w:szCs w:val="24"/>
        </w:rPr>
        <w:t>Force Concept Inventory (FCI)</w:t>
      </w:r>
      <w:r>
        <w:rPr>
          <w:rFonts w:ascii="Times New Roman" w:hAnsi="Times New Roman" w:cs="Times New Roman"/>
          <w:noProof/>
          <w:sz w:val="24"/>
          <w:szCs w:val="24"/>
        </w:rPr>
        <w:drawing>
          <wp:inline distT="0" distB="0" distL="0" distR="0" wp14:anchorId="1E6CD0B1" wp14:editId="07096B6A">
            <wp:extent cx="5457139" cy="7063175"/>
            <wp:effectExtent l="0" t="0" r="0" b="4445"/>
            <wp:docPr id="10" name="Picture 10" descr="C:\Users\rsherman\AppData\Local\Microsoft\Windows\INetCache\Content.Word\img-224090908-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herman\AppData\Local\Microsoft\Windows\INetCache\Content.Word\img-224090908-0001.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1350" cy="7068626"/>
                    </a:xfrm>
                    <a:prstGeom prst="rect">
                      <a:avLst/>
                    </a:prstGeom>
                    <a:noFill/>
                    <a:ln>
                      <a:noFill/>
                    </a:ln>
                  </pic:spPr>
                </pic:pic>
              </a:graphicData>
            </a:graphic>
          </wp:inline>
        </w:drawing>
      </w:r>
    </w:p>
    <w:p w14:paraId="0DCF366F" w14:textId="77777777" w:rsidR="00FB41AA" w:rsidRDefault="00FB41AA" w:rsidP="00BA4A2D">
      <w:pPr>
        <w:widowControl w:val="0"/>
        <w:spacing w:after="0" w:line="480" w:lineRule="auto"/>
        <w:rPr>
          <w:rFonts w:ascii="Times New Roman" w:hAnsi="Times New Roman" w:cs="Times New Roman"/>
          <w:sz w:val="24"/>
          <w:szCs w:val="24"/>
        </w:rPr>
      </w:pPr>
      <w:r>
        <w:rPr>
          <w:noProof/>
        </w:rPr>
        <w:lastRenderedPageBreak/>
        <w:drawing>
          <wp:anchor distT="0" distB="0" distL="114300" distR="114300" simplePos="0" relativeHeight="251631104" behindDoc="0" locked="0" layoutInCell="1" allowOverlap="1" wp14:anchorId="35F930C8" wp14:editId="33D13EAD">
            <wp:simplePos x="0" y="0"/>
            <wp:positionH relativeFrom="column">
              <wp:posOffset>5715</wp:posOffset>
            </wp:positionH>
            <wp:positionV relativeFrom="paragraph">
              <wp:posOffset>0</wp:posOffset>
            </wp:positionV>
            <wp:extent cx="5937885" cy="7685405"/>
            <wp:effectExtent l="0" t="0" r="5715" b="0"/>
            <wp:wrapSquare wrapText="right"/>
            <wp:docPr id="11" name="Picture 11" descr="C:\Users\rsherman\AppData\Local\Microsoft\Windows\INetCache\Content.Word\img-224090908-00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sherman\AppData\Local\Microsoft\Windows\INetCache\Content.Word\img-224090908-0002.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7885" cy="76854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br w:type="textWrapping" w:clear="all"/>
      </w:r>
    </w:p>
    <w:p w14:paraId="61680508" w14:textId="77777777" w:rsidR="00FB41AA" w:rsidRDefault="00FB41AA" w:rsidP="00BA4A2D">
      <w:pPr>
        <w:widowControl w:val="0"/>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D5E3A67" wp14:editId="22F36D2B">
            <wp:extent cx="5937885" cy="7685405"/>
            <wp:effectExtent l="0" t="0" r="5715" b="0"/>
            <wp:docPr id="9" name="Picture 9" descr="C:\Users\rsherman\AppData\Local\Microsoft\Windows\INetCache\Content.Word\img-224090908-00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sherman\AppData\Local\Microsoft\Windows\INetCache\Content.Word\img-224090908-0003.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7885" cy="7685405"/>
                    </a:xfrm>
                    <a:prstGeom prst="rect">
                      <a:avLst/>
                    </a:prstGeom>
                    <a:noFill/>
                    <a:ln>
                      <a:noFill/>
                    </a:ln>
                  </pic:spPr>
                </pic:pic>
              </a:graphicData>
            </a:graphic>
          </wp:inline>
        </w:drawing>
      </w:r>
    </w:p>
    <w:p w14:paraId="6E95F366" w14:textId="77777777" w:rsidR="00FB41AA" w:rsidRDefault="00FB41AA" w:rsidP="00BA4A2D">
      <w:pPr>
        <w:widowControl w:val="0"/>
        <w:spacing w:after="0" w:line="480" w:lineRule="auto"/>
        <w:rPr>
          <w:rFonts w:ascii="Times New Roman" w:hAnsi="Times New Roman" w:cs="Times New Roman"/>
          <w:sz w:val="24"/>
          <w:szCs w:val="24"/>
        </w:rPr>
      </w:pPr>
    </w:p>
    <w:p w14:paraId="09A774B0" w14:textId="77777777" w:rsidR="00FB41AA" w:rsidRDefault="00FB41AA" w:rsidP="00BA4A2D">
      <w:pPr>
        <w:widowControl w:val="0"/>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FAFC5E3" wp14:editId="4547894E">
            <wp:extent cx="5937885" cy="7685405"/>
            <wp:effectExtent l="0" t="0" r="5715" b="0"/>
            <wp:docPr id="8" name="Picture 8" descr="C:\Users\rsherman\AppData\Local\Microsoft\Windows\INetCache\Content.Word\img-224090908-000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sherman\AppData\Local\Microsoft\Windows\INetCache\Content.Word\img-224090908-0004.t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7885" cy="7685405"/>
                    </a:xfrm>
                    <a:prstGeom prst="rect">
                      <a:avLst/>
                    </a:prstGeom>
                    <a:noFill/>
                    <a:ln>
                      <a:noFill/>
                    </a:ln>
                  </pic:spPr>
                </pic:pic>
              </a:graphicData>
            </a:graphic>
          </wp:inline>
        </w:drawing>
      </w:r>
    </w:p>
    <w:p w14:paraId="78343550" w14:textId="77777777" w:rsidR="00FB41AA" w:rsidRDefault="00FB41AA" w:rsidP="00BA4A2D">
      <w:pPr>
        <w:widowControl w:val="0"/>
        <w:spacing w:after="0" w:line="480" w:lineRule="auto"/>
        <w:rPr>
          <w:rFonts w:ascii="Times New Roman" w:hAnsi="Times New Roman" w:cs="Times New Roman"/>
          <w:sz w:val="24"/>
          <w:szCs w:val="24"/>
        </w:rPr>
      </w:pPr>
    </w:p>
    <w:p w14:paraId="05EE32CE" w14:textId="77777777" w:rsidR="00FB41AA" w:rsidRDefault="00FB41AA" w:rsidP="00BA4A2D">
      <w:pPr>
        <w:widowControl w:val="0"/>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46B4848" wp14:editId="02C0CEEC">
            <wp:extent cx="5937885" cy="7685405"/>
            <wp:effectExtent l="0" t="0" r="5715" b="0"/>
            <wp:docPr id="7" name="Picture 7" descr="C:\Users\rsherman\AppData\Local\Microsoft\Windows\INetCache\Content.Word\img-224090908-000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sherman\AppData\Local\Microsoft\Windows\INetCache\Content.Word\img-224090908-0005.t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7885" cy="7685405"/>
                    </a:xfrm>
                    <a:prstGeom prst="rect">
                      <a:avLst/>
                    </a:prstGeom>
                    <a:noFill/>
                    <a:ln>
                      <a:noFill/>
                    </a:ln>
                  </pic:spPr>
                </pic:pic>
              </a:graphicData>
            </a:graphic>
          </wp:inline>
        </w:drawing>
      </w:r>
    </w:p>
    <w:p w14:paraId="1E1FBC50" w14:textId="77777777" w:rsidR="00FB41AA" w:rsidRDefault="00FB41AA" w:rsidP="00BA4A2D">
      <w:pPr>
        <w:widowControl w:val="0"/>
        <w:tabs>
          <w:tab w:val="left" w:pos="6690"/>
        </w:tabs>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42881ABC" w14:textId="77777777" w:rsidR="00FB41AA" w:rsidRDefault="00FB41AA" w:rsidP="00BA4A2D">
      <w:pPr>
        <w:widowControl w:val="0"/>
        <w:tabs>
          <w:tab w:val="left" w:pos="6690"/>
        </w:tabs>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9CEE244" wp14:editId="50CB1CD4">
            <wp:extent cx="5937885" cy="7685405"/>
            <wp:effectExtent l="0" t="0" r="5715" b="0"/>
            <wp:docPr id="6" name="Picture 6" descr="C:\Users\rsherman\AppData\Local\Microsoft\Windows\INetCache\Content.Word\img-224090908-000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sherman\AppData\Local\Microsoft\Windows\INetCache\Content.Word\img-224090908-0006.t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7885" cy="7685405"/>
                    </a:xfrm>
                    <a:prstGeom prst="rect">
                      <a:avLst/>
                    </a:prstGeom>
                    <a:noFill/>
                    <a:ln>
                      <a:noFill/>
                    </a:ln>
                  </pic:spPr>
                </pic:pic>
              </a:graphicData>
            </a:graphic>
          </wp:inline>
        </w:drawing>
      </w:r>
    </w:p>
    <w:p w14:paraId="7A7677AF" w14:textId="77777777" w:rsidR="00FB41AA" w:rsidRDefault="00FB41AA" w:rsidP="00BA4A2D">
      <w:pPr>
        <w:widowControl w:val="0"/>
        <w:tabs>
          <w:tab w:val="left" w:pos="6690"/>
        </w:tabs>
        <w:spacing w:after="0" w:line="480" w:lineRule="auto"/>
        <w:rPr>
          <w:rFonts w:ascii="Times New Roman" w:hAnsi="Times New Roman" w:cs="Times New Roman"/>
          <w:sz w:val="24"/>
          <w:szCs w:val="24"/>
        </w:rPr>
      </w:pPr>
    </w:p>
    <w:p w14:paraId="2DDA692A" w14:textId="77777777" w:rsidR="00FB41AA" w:rsidRDefault="00FB41AA" w:rsidP="00BA4A2D">
      <w:pPr>
        <w:widowControl w:val="0"/>
        <w:tabs>
          <w:tab w:val="left" w:pos="6690"/>
        </w:tabs>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B1DBE7E" wp14:editId="5F21BA91">
            <wp:extent cx="5937885" cy="7685405"/>
            <wp:effectExtent l="0" t="0" r="5715" b="0"/>
            <wp:docPr id="5" name="Picture 5" descr="C:\Users\rsherman\AppData\Local\Microsoft\Windows\INetCache\Content.Word\img-224090908-000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sherman\AppData\Local\Microsoft\Windows\INetCache\Content.Word\img-224090908-0007.t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37885" cy="7685405"/>
                    </a:xfrm>
                    <a:prstGeom prst="rect">
                      <a:avLst/>
                    </a:prstGeom>
                    <a:noFill/>
                    <a:ln>
                      <a:noFill/>
                    </a:ln>
                  </pic:spPr>
                </pic:pic>
              </a:graphicData>
            </a:graphic>
          </wp:inline>
        </w:drawing>
      </w:r>
    </w:p>
    <w:p w14:paraId="2F013C03" w14:textId="77777777" w:rsidR="00FB41AA" w:rsidRDefault="00FB41AA" w:rsidP="00BA4A2D">
      <w:pPr>
        <w:widowControl w:val="0"/>
        <w:tabs>
          <w:tab w:val="left" w:pos="6690"/>
        </w:tabs>
        <w:spacing w:after="0" w:line="480" w:lineRule="auto"/>
        <w:rPr>
          <w:rFonts w:ascii="Times New Roman" w:hAnsi="Times New Roman" w:cs="Times New Roman"/>
          <w:sz w:val="24"/>
          <w:szCs w:val="24"/>
        </w:rPr>
      </w:pPr>
    </w:p>
    <w:p w14:paraId="5D680B11" w14:textId="77777777" w:rsidR="00FB41AA" w:rsidRDefault="00FB41AA" w:rsidP="00BA4A2D">
      <w:pPr>
        <w:widowControl w:val="0"/>
        <w:tabs>
          <w:tab w:val="left" w:pos="6690"/>
        </w:tabs>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BFF41DD" wp14:editId="7A8E986B">
            <wp:extent cx="5937885" cy="7685405"/>
            <wp:effectExtent l="0" t="0" r="5715" b="0"/>
            <wp:docPr id="4" name="Picture 4" descr="C:\Users\rsherman\AppData\Local\Microsoft\Windows\INetCache\Content.Word\img-224090908-000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sherman\AppData\Local\Microsoft\Windows\INetCache\Content.Word\img-224090908-0008.t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37885" cy="7685405"/>
                    </a:xfrm>
                    <a:prstGeom prst="rect">
                      <a:avLst/>
                    </a:prstGeom>
                    <a:noFill/>
                    <a:ln>
                      <a:noFill/>
                    </a:ln>
                  </pic:spPr>
                </pic:pic>
              </a:graphicData>
            </a:graphic>
          </wp:inline>
        </w:drawing>
      </w:r>
    </w:p>
    <w:p w14:paraId="7B7D6C0E" w14:textId="77777777" w:rsidR="00FB41AA" w:rsidRDefault="00FB41AA" w:rsidP="00BA4A2D">
      <w:pPr>
        <w:widowControl w:val="0"/>
        <w:tabs>
          <w:tab w:val="left" w:pos="6690"/>
        </w:tabs>
        <w:spacing w:after="0" w:line="480" w:lineRule="auto"/>
        <w:rPr>
          <w:rFonts w:ascii="Times New Roman" w:hAnsi="Times New Roman" w:cs="Times New Roman"/>
          <w:sz w:val="24"/>
          <w:szCs w:val="24"/>
        </w:rPr>
      </w:pPr>
    </w:p>
    <w:p w14:paraId="15A74FF9" w14:textId="77777777" w:rsidR="00FB41AA" w:rsidRDefault="00FB41AA" w:rsidP="00BA4A2D">
      <w:pPr>
        <w:widowControl w:val="0"/>
        <w:tabs>
          <w:tab w:val="left" w:pos="6690"/>
        </w:tabs>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B7A389B" wp14:editId="2ADA7657">
            <wp:extent cx="5937885" cy="7685405"/>
            <wp:effectExtent l="0" t="0" r="5715" b="0"/>
            <wp:docPr id="3" name="Picture 3" descr="C:\Users\rsherman\AppData\Local\Microsoft\Windows\INetCache\Content.Word\img-224090909-000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sherman\AppData\Local\Microsoft\Windows\INetCache\Content.Word\img-224090909-0009.t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37885" cy="7685405"/>
                    </a:xfrm>
                    <a:prstGeom prst="rect">
                      <a:avLst/>
                    </a:prstGeom>
                    <a:noFill/>
                    <a:ln>
                      <a:noFill/>
                    </a:ln>
                  </pic:spPr>
                </pic:pic>
              </a:graphicData>
            </a:graphic>
          </wp:inline>
        </w:drawing>
      </w:r>
    </w:p>
    <w:p w14:paraId="4EB3B2BC" w14:textId="77777777" w:rsidR="00FB41AA" w:rsidRDefault="00FB41AA" w:rsidP="00BA4A2D">
      <w:pPr>
        <w:widowControl w:val="0"/>
        <w:tabs>
          <w:tab w:val="left" w:pos="6690"/>
        </w:tabs>
        <w:spacing w:after="0" w:line="480" w:lineRule="auto"/>
        <w:rPr>
          <w:rFonts w:ascii="Times New Roman" w:hAnsi="Times New Roman" w:cs="Times New Roman"/>
          <w:sz w:val="24"/>
          <w:szCs w:val="24"/>
        </w:rPr>
      </w:pPr>
    </w:p>
    <w:p w14:paraId="5EDCC7BD" w14:textId="77777777" w:rsidR="00FB41AA" w:rsidRDefault="00FB41AA" w:rsidP="00BA4A2D">
      <w:pPr>
        <w:widowControl w:val="0"/>
        <w:tabs>
          <w:tab w:val="left" w:pos="6690"/>
        </w:tabs>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9FAADE4" wp14:editId="40EDC5D7">
            <wp:extent cx="5937885" cy="7685405"/>
            <wp:effectExtent l="0" t="0" r="5715" b="0"/>
            <wp:docPr id="2" name="Picture 2" descr="C:\Users\rsherman\AppData\Local\Microsoft\Windows\INetCache\Content.Word\img-224090909-001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sherman\AppData\Local\Microsoft\Windows\INetCache\Content.Word\img-224090909-0010.t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7885" cy="7685405"/>
                    </a:xfrm>
                    <a:prstGeom prst="rect">
                      <a:avLst/>
                    </a:prstGeom>
                    <a:noFill/>
                    <a:ln>
                      <a:noFill/>
                    </a:ln>
                  </pic:spPr>
                </pic:pic>
              </a:graphicData>
            </a:graphic>
          </wp:inline>
        </w:drawing>
      </w:r>
    </w:p>
    <w:p w14:paraId="56E777A6" w14:textId="77777777" w:rsidR="00FB41AA" w:rsidRPr="00752914" w:rsidRDefault="00FB41AA" w:rsidP="00BA4A2D">
      <w:pPr>
        <w:widowControl w:val="0"/>
        <w:tabs>
          <w:tab w:val="left" w:pos="6690"/>
        </w:tabs>
        <w:spacing w:after="0" w:line="480" w:lineRule="auto"/>
        <w:rPr>
          <w:rFonts w:ascii="Times New Roman" w:hAnsi="Times New Roman" w:cs="Times New Roman"/>
          <w:sz w:val="24"/>
          <w:szCs w:val="24"/>
        </w:rPr>
      </w:pPr>
    </w:p>
    <w:p w14:paraId="08E5FAEB" w14:textId="77777777" w:rsidR="00FB41AA" w:rsidRPr="000E4B01" w:rsidRDefault="00FB41AA" w:rsidP="00BA4A2D">
      <w:pPr>
        <w:pStyle w:val="Heading1"/>
        <w:jc w:val="center"/>
      </w:pPr>
      <w:bookmarkStart w:id="70" w:name="_Toc117501942"/>
      <w:r w:rsidRPr="000E4B01">
        <w:lastRenderedPageBreak/>
        <w:t xml:space="preserve">Appendix </w:t>
      </w:r>
      <w:r>
        <w:t>C</w:t>
      </w:r>
      <w:bookmarkEnd w:id="70"/>
    </w:p>
    <w:p w14:paraId="79D7B427" w14:textId="55577C41" w:rsidR="00FB41AA" w:rsidRDefault="00FB41AA" w:rsidP="00BA4A2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ab/>
        <w:t>This appendix contains a copy of the instrument used to collect data on student sources of self-efficacy</w:t>
      </w:r>
      <w:r w:rsidR="00736F31">
        <w:rPr>
          <w:rFonts w:ascii="Times New Roman" w:hAnsi="Times New Roman" w:cs="Times New Roman"/>
          <w:sz w:val="24"/>
          <w:szCs w:val="24"/>
        </w:rPr>
        <w:t xml:space="preserve">. </w:t>
      </w:r>
      <w:r>
        <w:rPr>
          <w:rFonts w:ascii="Times New Roman" w:hAnsi="Times New Roman" w:cs="Times New Roman"/>
          <w:sz w:val="24"/>
          <w:szCs w:val="24"/>
        </w:rPr>
        <w:t>Following the copy of the instrument is a table indicating which items of the SOSESC-P were included in the calculation of each of Bandura’s four sources of self-efficacy.</w:t>
      </w:r>
      <w:r w:rsidRPr="007F4617">
        <w:rPr>
          <w:rFonts w:ascii="Times New Roman" w:hAnsi="Times New Roman" w:cs="Times New Roman"/>
          <w:sz w:val="24"/>
          <w:szCs w:val="24"/>
        </w:rPr>
        <w:t xml:space="preserve"> </w:t>
      </w:r>
      <w:r>
        <w:rPr>
          <w:rFonts w:ascii="Times New Roman" w:hAnsi="Times New Roman" w:cs="Times New Roman"/>
          <w:sz w:val="24"/>
          <w:szCs w:val="24"/>
        </w:rPr>
        <w:t xml:space="preserve">Items that were reversed scored are marked with an </w:t>
      </w:r>
      <w:r w:rsidRPr="007F4617">
        <w:rPr>
          <w:rFonts w:ascii="Times New Roman" w:hAnsi="Times New Roman" w:cs="Times New Roman"/>
          <w:b/>
          <w:sz w:val="24"/>
          <w:szCs w:val="24"/>
        </w:rPr>
        <w:t>R</w:t>
      </w:r>
      <w:r w:rsidR="00736F31">
        <w:rPr>
          <w:rFonts w:ascii="Times New Roman" w:hAnsi="Times New Roman" w:cs="Times New Roman"/>
          <w:sz w:val="24"/>
          <w:szCs w:val="24"/>
        </w:rPr>
        <w:t xml:space="preserve">. </w:t>
      </w:r>
    </w:p>
    <w:p w14:paraId="63273181" w14:textId="77777777" w:rsidR="00FB41AA" w:rsidRDefault="00FB41AA" w:rsidP="00BA4A2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Sources of Self-Efficacy Science Classes – Physics</w:t>
      </w:r>
      <w:r w:rsidRPr="000E4B01">
        <w:rPr>
          <w:rFonts w:ascii="Times New Roman" w:hAnsi="Times New Roman" w:cs="Times New Roman"/>
          <w:sz w:val="24"/>
          <w:szCs w:val="24"/>
        </w:rPr>
        <w:t xml:space="preserve"> (</w:t>
      </w:r>
      <w:r>
        <w:rPr>
          <w:rFonts w:ascii="Times New Roman" w:hAnsi="Times New Roman" w:cs="Times New Roman"/>
          <w:sz w:val="24"/>
          <w:szCs w:val="24"/>
        </w:rPr>
        <w:t>SOSESC-P</w:t>
      </w:r>
      <w:r w:rsidRPr="000E4B01">
        <w:rPr>
          <w:rFonts w:ascii="Times New Roman" w:hAnsi="Times New Roman" w:cs="Times New Roman"/>
          <w:sz w:val="24"/>
          <w:szCs w:val="24"/>
        </w:rPr>
        <w:t>)</w:t>
      </w:r>
    </w:p>
    <w:p w14:paraId="71A30D15" w14:textId="77777777" w:rsidR="00FB41AA" w:rsidRDefault="00FB41AA" w:rsidP="00BA4A2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indicate how strongly you agree with each of the following statements about your experiences </w:t>
      </w:r>
      <w:r>
        <w:rPr>
          <w:rFonts w:ascii="Times New Roman" w:hAnsi="Times New Roman" w:cs="Times New Roman"/>
          <w:i/>
          <w:sz w:val="24"/>
          <w:szCs w:val="24"/>
        </w:rPr>
        <w:t xml:space="preserve">in this course </w:t>
      </w:r>
      <w:r>
        <w:rPr>
          <w:rFonts w:ascii="Times New Roman" w:hAnsi="Times New Roman" w:cs="Times New Roman"/>
          <w:sz w:val="24"/>
          <w:szCs w:val="24"/>
        </w:rPr>
        <w:t>(including labs, if applicable).</w:t>
      </w:r>
    </w:p>
    <w:p w14:paraId="1739DC10" w14:textId="77777777" w:rsidR="00FB41AA" w:rsidRDefault="00FB41AA" w:rsidP="00BA4A2D">
      <w:pPr>
        <w:pStyle w:val="ListParagraph"/>
        <w:widowControl w:val="0"/>
        <w:numPr>
          <w:ilvl w:val="0"/>
          <w:numId w:val="5"/>
        </w:numPr>
      </w:pPr>
      <w:r>
        <w:t>I received good grades on my assignments in this class.</w:t>
      </w:r>
    </w:p>
    <w:p w14:paraId="21BC07FD" w14:textId="77777777" w:rsidR="00FB41AA" w:rsidRDefault="00FB41AA" w:rsidP="00BA4A2D">
      <w:pPr>
        <w:pStyle w:val="ListParagraph"/>
        <w:widowControl w:val="0"/>
      </w:pPr>
    </w:p>
    <w:p w14:paraId="458B34E6" w14:textId="77777777" w:rsidR="00FB41AA" w:rsidRDefault="00FB41AA" w:rsidP="00BA4A2D">
      <w:pPr>
        <w:pStyle w:val="ListParagraph"/>
        <w:widowControl w:val="0"/>
      </w:pPr>
      <w:r>
        <w:t>1 Strongly disagree</w:t>
      </w:r>
      <w:r>
        <w:tab/>
        <w:t>2 Disagree</w:t>
      </w:r>
      <w:r>
        <w:tab/>
        <w:t>3 Neutral</w:t>
      </w:r>
      <w:r>
        <w:tab/>
        <w:t>4 Agree</w:t>
      </w:r>
      <w:r>
        <w:tab/>
        <w:t>5 Strongly Agree</w:t>
      </w:r>
    </w:p>
    <w:p w14:paraId="08793A0B" w14:textId="77777777" w:rsidR="00FB41AA" w:rsidRDefault="00FB41AA" w:rsidP="00BA4A2D">
      <w:pPr>
        <w:pStyle w:val="ListParagraph"/>
        <w:widowControl w:val="0"/>
      </w:pPr>
    </w:p>
    <w:p w14:paraId="2DB46D59" w14:textId="77777777" w:rsidR="00FB41AA" w:rsidRDefault="00FB41AA" w:rsidP="00BA4A2D">
      <w:pPr>
        <w:pStyle w:val="ListParagraph"/>
        <w:widowControl w:val="0"/>
        <w:numPr>
          <w:ilvl w:val="0"/>
          <w:numId w:val="5"/>
        </w:numPr>
      </w:pPr>
      <w:r>
        <w:t>My mind went blank and I was unable to think clearly when working on assignments.</w:t>
      </w:r>
      <w:r w:rsidRPr="009C78FE">
        <w:t xml:space="preserve"> </w:t>
      </w:r>
    </w:p>
    <w:p w14:paraId="7DD3AF64" w14:textId="77777777" w:rsidR="00FB41AA" w:rsidRDefault="00FB41AA" w:rsidP="00BA4A2D">
      <w:pPr>
        <w:pStyle w:val="ListParagraph"/>
        <w:widowControl w:val="0"/>
      </w:pPr>
    </w:p>
    <w:p w14:paraId="3CFC9B25" w14:textId="77777777" w:rsidR="00FB41AA" w:rsidRDefault="00FB41AA" w:rsidP="00BA4A2D">
      <w:pPr>
        <w:pStyle w:val="ListParagraph"/>
        <w:widowControl w:val="0"/>
      </w:pPr>
      <w:r>
        <w:t>1 Strongly disagree</w:t>
      </w:r>
      <w:r>
        <w:tab/>
        <w:t>2 Disagree</w:t>
      </w:r>
      <w:r>
        <w:tab/>
        <w:t>3 Neutral</w:t>
      </w:r>
      <w:r>
        <w:tab/>
        <w:t>4 Agree</w:t>
      </w:r>
      <w:r>
        <w:tab/>
        <w:t>5 Strongly Agree</w:t>
      </w:r>
    </w:p>
    <w:p w14:paraId="41D8B22F" w14:textId="77777777" w:rsidR="00FB41AA" w:rsidRPr="009C78FE" w:rsidRDefault="00FB41AA" w:rsidP="00BA4A2D">
      <w:pPr>
        <w:pStyle w:val="ListParagraph"/>
        <w:widowControl w:val="0"/>
      </w:pPr>
    </w:p>
    <w:p w14:paraId="31388373" w14:textId="77777777" w:rsidR="00FB41AA" w:rsidRDefault="00FB41AA" w:rsidP="00BA4A2D">
      <w:pPr>
        <w:pStyle w:val="ListParagraph"/>
        <w:widowControl w:val="0"/>
        <w:numPr>
          <w:ilvl w:val="0"/>
          <w:numId w:val="5"/>
        </w:numPr>
      </w:pPr>
      <w:r>
        <w:t>Watching other students in class made me think that I could not succeed in physics.</w:t>
      </w:r>
      <w:r w:rsidRPr="009C78FE">
        <w:t xml:space="preserve"> </w:t>
      </w:r>
    </w:p>
    <w:p w14:paraId="6017AC77" w14:textId="77777777" w:rsidR="00FB41AA" w:rsidRDefault="00FB41AA" w:rsidP="00BA4A2D">
      <w:pPr>
        <w:pStyle w:val="ListParagraph"/>
        <w:widowControl w:val="0"/>
      </w:pPr>
    </w:p>
    <w:p w14:paraId="07403B55" w14:textId="77777777" w:rsidR="00FB41AA" w:rsidRDefault="00FB41AA" w:rsidP="00BA4A2D">
      <w:pPr>
        <w:pStyle w:val="ListParagraph"/>
        <w:widowControl w:val="0"/>
      </w:pPr>
      <w:r>
        <w:t>1 Strongly disagree</w:t>
      </w:r>
      <w:r>
        <w:tab/>
        <w:t>2 Disagree</w:t>
      </w:r>
      <w:r>
        <w:tab/>
        <w:t>3 Neutral</w:t>
      </w:r>
      <w:r>
        <w:tab/>
        <w:t>4 Agree</w:t>
      </w:r>
      <w:r>
        <w:tab/>
        <w:t>5 Strongly Agree</w:t>
      </w:r>
    </w:p>
    <w:p w14:paraId="4630E726" w14:textId="77777777" w:rsidR="00FB41AA" w:rsidRDefault="00FB41AA" w:rsidP="00BA4A2D">
      <w:pPr>
        <w:pStyle w:val="ListParagraph"/>
        <w:widowControl w:val="0"/>
      </w:pPr>
    </w:p>
    <w:p w14:paraId="5D206A47" w14:textId="77777777" w:rsidR="00FB41AA" w:rsidRDefault="00FB41AA" w:rsidP="00BA4A2D">
      <w:pPr>
        <w:pStyle w:val="ListParagraph"/>
        <w:widowControl w:val="0"/>
        <w:numPr>
          <w:ilvl w:val="0"/>
          <w:numId w:val="5"/>
        </w:numPr>
      </w:pPr>
      <w:r>
        <w:t>When I came across a tough physics question, I worked until I solved it.</w:t>
      </w:r>
      <w:r w:rsidRPr="009C78FE">
        <w:t xml:space="preserve"> </w:t>
      </w:r>
    </w:p>
    <w:p w14:paraId="3F9A1EF4" w14:textId="77777777" w:rsidR="00FB41AA" w:rsidRDefault="00FB41AA" w:rsidP="00BA4A2D">
      <w:pPr>
        <w:pStyle w:val="ListParagraph"/>
        <w:widowControl w:val="0"/>
      </w:pPr>
    </w:p>
    <w:p w14:paraId="16A24578" w14:textId="77777777" w:rsidR="00FB41AA" w:rsidRDefault="00FB41AA" w:rsidP="00BA4A2D">
      <w:pPr>
        <w:pStyle w:val="ListParagraph"/>
        <w:widowControl w:val="0"/>
      </w:pPr>
      <w:r>
        <w:t>1 Strongly disagree</w:t>
      </w:r>
      <w:r>
        <w:tab/>
        <w:t>2 Disagree</w:t>
      </w:r>
      <w:r>
        <w:tab/>
        <w:t>3 Neutral</w:t>
      </w:r>
      <w:r>
        <w:tab/>
        <w:t>4 Agree</w:t>
      </w:r>
      <w:r>
        <w:tab/>
        <w:t>5 Strongly Agree</w:t>
      </w:r>
    </w:p>
    <w:p w14:paraId="6A4FC35D" w14:textId="77777777" w:rsidR="00FB41AA" w:rsidRDefault="00FB41AA" w:rsidP="00BA4A2D">
      <w:pPr>
        <w:pStyle w:val="ListParagraph"/>
        <w:widowControl w:val="0"/>
      </w:pPr>
    </w:p>
    <w:p w14:paraId="1106BE86" w14:textId="77777777" w:rsidR="00FB41AA" w:rsidRDefault="00FB41AA" w:rsidP="00BA4A2D">
      <w:pPr>
        <w:pStyle w:val="ListParagraph"/>
        <w:widowControl w:val="0"/>
        <w:numPr>
          <w:ilvl w:val="0"/>
          <w:numId w:val="5"/>
        </w:numPr>
      </w:pPr>
      <w:r>
        <w:t>Working with other students encouraged and motivated me in this class.</w:t>
      </w:r>
      <w:r w:rsidRPr="009C78FE">
        <w:t xml:space="preserve"> </w:t>
      </w:r>
    </w:p>
    <w:p w14:paraId="4AC7D832" w14:textId="77777777" w:rsidR="00FB41AA" w:rsidRDefault="00FB41AA" w:rsidP="00BA4A2D">
      <w:pPr>
        <w:pStyle w:val="ListParagraph"/>
        <w:widowControl w:val="0"/>
      </w:pPr>
    </w:p>
    <w:p w14:paraId="6FBDD4DF" w14:textId="77777777" w:rsidR="00FB41AA" w:rsidRDefault="00FB41AA" w:rsidP="00BA4A2D">
      <w:pPr>
        <w:pStyle w:val="ListParagraph"/>
        <w:widowControl w:val="0"/>
      </w:pPr>
      <w:r>
        <w:t>1 Strongly disagree</w:t>
      </w:r>
      <w:r>
        <w:tab/>
        <w:t>2 Disagree</w:t>
      </w:r>
      <w:r>
        <w:tab/>
        <w:t>3 Neutral</w:t>
      </w:r>
      <w:r>
        <w:tab/>
        <w:t>4 Agree</w:t>
      </w:r>
      <w:r>
        <w:tab/>
        <w:t>5 Strongly Agree</w:t>
      </w:r>
    </w:p>
    <w:p w14:paraId="609C5FA1" w14:textId="77777777" w:rsidR="00FB41AA" w:rsidRDefault="00FB41AA" w:rsidP="00BA4A2D">
      <w:pPr>
        <w:pStyle w:val="ListParagraph"/>
        <w:widowControl w:val="0"/>
      </w:pPr>
    </w:p>
    <w:p w14:paraId="6A0D7DA0" w14:textId="77777777" w:rsidR="00FB41AA" w:rsidRDefault="00FB41AA" w:rsidP="00BA4A2D">
      <w:pPr>
        <w:pStyle w:val="ListParagraph"/>
        <w:widowControl w:val="0"/>
        <w:numPr>
          <w:ilvl w:val="0"/>
          <w:numId w:val="5"/>
        </w:numPr>
      </w:pPr>
      <w:r>
        <w:t>I have usually been at ease in this class.</w:t>
      </w:r>
      <w:r w:rsidRPr="009C78FE">
        <w:t xml:space="preserve"> </w:t>
      </w:r>
    </w:p>
    <w:p w14:paraId="229950AC" w14:textId="77777777" w:rsidR="00FB41AA" w:rsidRDefault="00FB41AA" w:rsidP="00BA4A2D">
      <w:pPr>
        <w:pStyle w:val="ListParagraph"/>
        <w:widowControl w:val="0"/>
      </w:pPr>
    </w:p>
    <w:p w14:paraId="6EB89F63" w14:textId="77777777" w:rsidR="00FB41AA" w:rsidRDefault="00FB41AA" w:rsidP="00BA4A2D">
      <w:pPr>
        <w:pStyle w:val="ListParagraph"/>
        <w:widowControl w:val="0"/>
      </w:pPr>
      <w:r>
        <w:t>1 Strongly disagree</w:t>
      </w:r>
      <w:r>
        <w:tab/>
        <w:t>2 Disagree</w:t>
      </w:r>
      <w:r>
        <w:tab/>
        <w:t>3 Neutral</w:t>
      </w:r>
      <w:r>
        <w:tab/>
        <w:t>4 Agree</w:t>
      </w:r>
      <w:r>
        <w:tab/>
        <w:t>5 Strongly Agree</w:t>
      </w:r>
    </w:p>
    <w:p w14:paraId="3BC78F0D" w14:textId="77777777" w:rsidR="00FB41AA" w:rsidRDefault="00FB41AA" w:rsidP="00BA4A2D">
      <w:pPr>
        <w:pStyle w:val="ListParagraph"/>
        <w:widowControl w:val="0"/>
      </w:pPr>
    </w:p>
    <w:p w14:paraId="71C7C9C0" w14:textId="77777777" w:rsidR="00FB41AA" w:rsidRDefault="00FB41AA" w:rsidP="00BA4A2D">
      <w:pPr>
        <w:pStyle w:val="ListParagraph"/>
        <w:widowControl w:val="0"/>
        <w:numPr>
          <w:ilvl w:val="0"/>
          <w:numId w:val="5"/>
        </w:numPr>
      </w:pPr>
      <w:r>
        <w:t>Listening to the instructor and other students in question-and-answer sessions made me think I could not understand physics.</w:t>
      </w:r>
      <w:r w:rsidRPr="009C78FE">
        <w:t xml:space="preserve"> </w:t>
      </w:r>
    </w:p>
    <w:p w14:paraId="1893B766" w14:textId="77777777" w:rsidR="00FB41AA" w:rsidRDefault="00FB41AA" w:rsidP="00BA4A2D">
      <w:pPr>
        <w:pStyle w:val="ListParagraph"/>
        <w:widowControl w:val="0"/>
      </w:pPr>
    </w:p>
    <w:p w14:paraId="75EF8637" w14:textId="77777777" w:rsidR="00FB41AA" w:rsidRDefault="00FB41AA" w:rsidP="00BA4A2D">
      <w:pPr>
        <w:pStyle w:val="ListParagraph"/>
        <w:widowControl w:val="0"/>
      </w:pPr>
      <w:r>
        <w:t>1 Strongly disagree</w:t>
      </w:r>
      <w:r>
        <w:tab/>
        <w:t>2 Disagree</w:t>
      </w:r>
      <w:r>
        <w:tab/>
        <w:t>3 Neutral</w:t>
      </w:r>
      <w:r>
        <w:tab/>
        <w:t>4 Agree</w:t>
      </w:r>
      <w:r>
        <w:tab/>
        <w:t>5 Strongly Agree</w:t>
      </w:r>
    </w:p>
    <w:p w14:paraId="00FCD4BC" w14:textId="77777777" w:rsidR="00FB41AA" w:rsidRPr="00B52F04" w:rsidRDefault="00FB41AA" w:rsidP="00BA4A2D">
      <w:pPr>
        <w:pStyle w:val="ListParagraph"/>
        <w:widowControl w:val="0"/>
      </w:pPr>
    </w:p>
    <w:p w14:paraId="7E79E15F" w14:textId="77777777" w:rsidR="00FB41AA" w:rsidRDefault="00FB41AA" w:rsidP="00BA4A2D">
      <w:pPr>
        <w:pStyle w:val="ListParagraph"/>
        <w:widowControl w:val="0"/>
        <w:numPr>
          <w:ilvl w:val="0"/>
          <w:numId w:val="5"/>
        </w:numPr>
      </w:pPr>
      <w:r>
        <w:t>I found the material in this course to be difficult and confusing.</w:t>
      </w:r>
      <w:r w:rsidRPr="009C78FE">
        <w:t xml:space="preserve"> </w:t>
      </w:r>
    </w:p>
    <w:p w14:paraId="24C7F8BE" w14:textId="77777777" w:rsidR="00FB41AA" w:rsidRDefault="00FB41AA" w:rsidP="00BA4A2D">
      <w:pPr>
        <w:pStyle w:val="ListParagraph"/>
        <w:widowControl w:val="0"/>
      </w:pPr>
    </w:p>
    <w:p w14:paraId="269E6060" w14:textId="77777777" w:rsidR="00FB41AA" w:rsidRDefault="00FB41AA" w:rsidP="00BA4A2D">
      <w:pPr>
        <w:pStyle w:val="ListParagraph"/>
        <w:widowControl w:val="0"/>
      </w:pPr>
      <w:r>
        <w:t>1 Strongly disagree</w:t>
      </w:r>
      <w:r>
        <w:tab/>
        <w:t>2 Disagree</w:t>
      </w:r>
      <w:r>
        <w:tab/>
        <w:t>3 Neutral</w:t>
      </w:r>
      <w:r>
        <w:tab/>
        <w:t>4 Agree</w:t>
      </w:r>
      <w:r>
        <w:tab/>
        <w:t>5 Strongly Agree</w:t>
      </w:r>
    </w:p>
    <w:p w14:paraId="24E40411" w14:textId="77777777" w:rsidR="00FB41AA" w:rsidRDefault="00FB41AA" w:rsidP="00BA4A2D">
      <w:pPr>
        <w:pStyle w:val="ListParagraph"/>
        <w:widowControl w:val="0"/>
      </w:pPr>
    </w:p>
    <w:p w14:paraId="5A7CB4B3" w14:textId="77777777" w:rsidR="00FB41AA" w:rsidRDefault="00FB41AA" w:rsidP="00BA4A2D">
      <w:pPr>
        <w:pStyle w:val="ListParagraph"/>
        <w:widowControl w:val="0"/>
        <w:numPr>
          <w:ilvl w:val="0"/>
          <w:numId w:val="5"/>
        </w:numPr>
      </w:pPr>
      <w:r>
        <w:t>I enjoyed physics lab/activities.</w:t>
      </w:r>
      <w:r w:rsidRPr="009C78FE">
        <w:t xml:space="preserve"> </w:t>
      </w:r>
    </w:p>
    <w:p w14:paraId="7D2D1D87" w14:textId="77777777" w:rsidR="00FB41AA" w:rsidRDefault="00FB41AA" w:rsidP="00BA4A2D">
      <w:pPr>
        <w:pStyle w:val="ListParagraph"/>
        <w:widowControl w:val="0"/>
      </w:pPr>
    </w:p>
    <w:p w14:paraId="46D2B077" w14:textId="77777777" w:rsidR="00FB41AA" w:rsidRDefault="00FB41AA" w:rsidP="00BA4A2D">
      <w:pPr>
        <w:pStyle w:val="ListParagraph"/>
        <w:widowControl w:val="0"/>
      </w:pPr>
      <w:r>
        <w:t>1 Strongly disagree</w:t>
      </w:r>
      <w:r>
        <w:tab/>
        <w:t>2 Disagree</w:t>
      </w:r>
      <w:r>
        <w:tab/>
        <w:t>3 Neutral</w:t>
      </w:r>
      <w:r>
        <w:tab/>
        <w:t>4 Agree</w:t>
      </w:r>
      <w:r>
        <w:tab/>
        <w:t>5 Strongly Agree</w:t>
      </w:r>
    </w:p>
    <w:p w14:paraId="1BC898C7" w14:textId="77777777" w:rsidR="00FB41AA" w:rsidRDefault="00FB41AA" w:rsidP="00BA4A2D">
      <w:pPr>
        <w:pStyle w:val="ListParagraph"/>
        <w:widowControl w:val="0"/>
      </w:pPr>
    </w:p>
    <w:p w14:paraId="7999D212" w14:textId="77777777" w:rsidR="00FB41AA" w:rsidRDefault="00FB41AA" w:rsidP="00BA4A2D">
      <w:pPr>
        <w:pStyle w:val="ListParagraph"/>
        <w:widowControl w:val="0"/>
        <w:numPr>
          <w:ilvl w:val="0"/>
          <w:numId w:val="5"/>
        </w:numPr>
      </w:pPr>
      <w:r>
        <w:lastRenderedPageBreak/>
        <w:t>My instructor’s demonstrations and explanations gave me confidence that I could solve physics-related problems.</w:t>
      </w:r>
      <w:r w:rsidRPr="009C78FE">
        <w:t xml:space="preserve"> </w:t>
      </w:r>
    </w:p>
    <w:p w14:paraId="1D1CFD32" w14:textId="77777777" w:rsidR="00FB41AA" w:rsidRDefault="00FB41AA" w:rsidP="00BA4A2D">
      <w:pPr>
        <w:pStyle w:val="ListParagraph"/>
        <w:widowControl w:val="0"/>
      </w:pPr>
    </w:p>
    <w:p w14:paraId="7C2A15FE" w14:textId="77777777" w:rsidR="00FB41AA" w:rsidRDefault="00FB41AA" w:rsidP="00BA4A2D">
      <w:pPr>
        <w:pStyle w:val="ListParagraph"/>
        <w:widowControl w:val="0"/>
      </w:pPr>
      <w:r>
        <w:t>1 Strongly disagree</w:t>
      </w:r>
      <w:r>
        <w:tab/>
        <w:t>2 Disagree</w:t>
      </w:r>
      <w:r>
        <w:tab/>
        <w:t>3 Neutral</w:t>
      </w:r>
      <w:r>
        <w:tab/>
        <w:t>4 Agree</w:t>
      </w:r>
      <w:r>
        <w:tab/>
        <w:t>5 Strongly Agree</w:t>
      </w:r>
    </w:p>
    <w:p w14:paraId="759A9F44" w14:textId="77777777" w:rsidR="00FB41AA" w:rsidRDefault="00FB41AA" w:rsidP="00BA4A2D">
      <w:pPr>
        <w:pStyle w:val="ListParagraph"/>
        <w:widowControl w:val="0"/>
      </w:pPr>
    </w:p>
    <w:p w14:paraId="47DCE66B" w14:textId="77777777" w:rsidR="00FB41AA" w:rsidRDefault="00FB41AA" w:rsidP="00BA4A2D">
      <w:pPr>
        <w:pStyle w:val="ListParagraph"/>
        <w:widowControl w:val="0"/>
        <w:numPr>
          <w:ilvl w:val="0"/>
          <w:numId w:val="5"/>
        </w:numPr>
      </w:pPr>
      <w:r>
        <w:t>I was rarely able to help my classmates with difficult problems.</w:t>
      </w:r>
      <w:r w:rsidRPr="009C78FE">
        <w:t xml:space="preserve"> </w:t>
      </w:r>
    </w:p>
    <w:p w14:paraId="00807450" w14:textId="77777777" w:rsidR="00FB41AA" w:rsidRDefault="00FB41AA" w:rsidP="00BA4A2D">
      <w:pPr>
        <w:pStyle w:val="ListParagraph"/>
        <w:widowControl w:val="0"/>
      </w:pPr>
    </w:p>
    <w:p w14:paraId="5AFAC194" w14:textId="77777777" w:rsidR="00FB41AA" w:rsidRDefault="00FB41AA" w:rsidP="00BA4A2D">
      <w:pPr>
        <w:pStyle w:val="ListParagraph"/>
        <w:widowControl w:val="0"/>
      </w:pPr>
      <w:r>
        <w:t>1 Strongly disagree</w:t>
      </w:r>
      <w:r>
        <w:tab/>
        <w:t>2 Disagree</w:t>
      </w:r>
      <w:r>
        <w:tab/>
        <w:t>3 Neutral</w:t>
      </w:r>
      <w:r>
        <w:tab/>
        <w:t>4 Agree</w:t>
      </w:r>
      <w:r>
        <w:tab/>
        <w:t>5 Strongly Agree</w:t>
      </w:r>
    </w:p>
    <w:p w14:paraId="60E14486" w14:textId="77777777" w:rsidR="00FB41AA" w:rsidRDefault="00FB41AA" w:rsidP="00BA4A2D">
      <w:pPr>
        <w:pStyle w:val="ListParagraph"/>
        <w:widowControl w:val="0"/>
      </w:pPr>
    </w:p>
    <w:p w14:paraId="3D0EB45A" w14:textId="77777777" w:rsidR="00FB41AA" w:rsidRDefault="00FB41AA" w:rsidP="00BA4A2D">
      <w:pPr>
        <w:pStyle w:val="ListParagraph"/>
        <w:widowControl w:val="0"/>
        <w:numPr>
          <w:ilvl w:val="0"/>
          <w:numId w:val="5"/>
        </w:numPr>
      </w:pPr>
      <w:r>
        <w:t>My instructor encouraged me that I could use physics concepts to understand real life phenomena.</w:t>
      </w:r>
      <w:r w:rsidRPr="009C78FE">
        <w:t xml:space="preserve"> </w:t>
      </w:r>
    </w:p>
    <w:p w14:paraId="7829BB35" w14:textId="77777777" w:rsidR="00FB41AA" w:rsidRDefault="00FB41AA" w:rsidP="00BA4A2D">
      <w:pPr>
        <w:pStyle w:val="ListParagraph"/>
        <w:widowControl w:val="0"/>
      </w:pPr>
    </w:p>
    <w:p w14:paraId="73FFCA46" w14:textId="77777777" w:rsidR="00FB41AA" w:rsidRDefault="00FB41AA" w:rsidP="00BA4A2D">
      <w:pPr>
        <w:pStyle w:val="ListParagraph"/>
        <w:widowControl w:val="0"/>
      </w:pPr>
      <w:r>
        <w:t>1 Strongly disagree</w:t>
      </w:r>
      <w:r>
        <w:tab/>
        <w:t>2 Disagree</w:t>
      </w:r>
      <w:r>
        <w:tab/>
        <w:t>3 Neutral</w:t>
      </w:r>
      <w:r>
        <w:tab/>
        <w:t>4 Agree</w:t>
      </w:r>
      <w:r>
        <w:tab/>
        <w:t>5 Strongly Agree</w:t>
      </w:r>
    </w:p>
    <w:p w14:paraId="36FFE088" w14:textId="77777777" w:rsidR="00FB41AA" w:rsidRDefault="00FB41AA" w:rsidP="00BA4A2D">
      <w:pPr>
        <w:pStyle w:val="ListParagraph"/>
        <w:widowControl w:val="0"/>
      </w:pPr>
    </w:p>
    <w:p w14:paraId="11559A0D" w14:textId="77777777" w:rsidR="00FB41AA" w:rsidRDefault="00FB41AA" w:rsidP="00BA4A2D">
      <w:pPr>
        <w:pStyle w:val="ListParagraph"/>
        <w:widowControl w:val="0"/>
        <w:numPr>
          <w:ilvl w:val="0"/>
          <w:numId w:val="5"/>
        </w:numPr>
      </w:pPr>
      <w:r>
        <w:t>I usually didn’t worry about my ability to solve physics problems.</w:t>
      </w:r>
      <w:r w:rsidRPr="009C78FE">
        <w:t xml:space="preserve"> </w:t>
      </w:r>
    </w:p>
    <w:p w14:paraId="1C0393A1" w14:textId="77777777" w:rsidR="00FB41AA" w:rsidRDefault="00FB41AA" w:rsidP="00BA4A2D">
      <w:pPr>
        <w:pStyle w:val="ListParagraph"/>
        <w:widowControl w:val="0"/>
      </w:pPr>
    </w:p>
    <w:p w14:paraId="50435616" w14:textId="77777777" w:rsidR="00FB41AA" w:rsidRDefault="00FB41AA" w:rsidP="00BA4A2D">
      <w:pPr>
        <w:pStyle w:val="ListParagraph"/>
        <w:widowControl w:val="0"/>
      </w:pPr>
      <w:r>
        <w:t>1 Strongly disagree</w:t>
      </w:r>
      <w:r>
        <w:tab/>
        <w:t>2 Disagree</w:t>
      </w:r>
      <w:r>
        <w:tab/>
        <w:t>3 Neutral</w:t>
      </w:r>
      <w:r>
        <w:tab/>
        <w:t>4 Agree</w:t>
      </w:r>
      <w:r>
        <w:tab/>
        <w:t>5 Strongly Agree</w:t>
      </w:r>
    </w:p>
    <w:p w14:paraId="424A7896" w14:textId="77777777" w:rsidR="00FB41AA" w:rsidRDefault="00FB41AA" w:rsidP="00BA4A2D">
      <w:pPr>
        <w:pStyle w:val="ListParagraph"/>
        <w:widowControl w:val="0"/>
      </w:pPr>
    </w:p>
    <w:p w14:paraId="3E00F03A" w14:textId="77777777" w:rsidR="00FB41AA" w:rsidRDefault="00FB41AA" w:rsidP="00BA4A2D">
      <w:pPr>
        <w:pStyle w:val="ListParagraph"/>
        <w:widowControl w:val="0"/>
        <w:numPr>
          <w:ilvl w:val="0"/>
          <w:numId w:val="5"/>
        </w:numPr>
      </w:pPr>
      <w:r>
        <w:t>I had difficulty with the exams/quizzes in this class.</w:t>
      </w:r>
      <w:r w:rsidRPr="009C78FE">
        <w:t xml:space="preserve"> </w:t>
      </w:r>
    </w:p>
    <w:p w14:paraId="450CC3D3" w14:textId="77777777" w:rsidR="00FB41AA" w:rsidRDefault="00FB41AA" w:rsidP="00BA4A2D">
      <w:pPr>
        <w:pStyle w:val="ListParagraph"/>
        <w:widowControl w:val="0"/>
      </w:pPr>
    </w:p>
    <w:p w14:paraId="15C15EEE" w14:textId="77777777" w:rsidR="00FB41AA" w:rsidRDefault="00FB41AA" w:rsidP="00BA4A2D">
      <w:pPr>
        <w:pStyle w:val="ListParagraph"/>
        <w:widowControl w:val="0"/>
      </w:pPr>
      <w:r>
        <w:t>1 Strongly disagree</w:t>
      </w:r>
      <w:r>
        <w:tab/>
        <w:t>2 Disagree</w:t>
      </w:r>
      <w:r>
        <w:tab/>
        <w:t>3 Neutral</w:t>
      </w:r>
      <w:r>
        <w:tab/>
        <w:t>4 Agree</w:t>
      </w:r>
      <w:r>
        <w:tab/>
        <w:t>5 Strongly Agree</w:t>
      </w:r>
    </w:p>
    <w:p w14:paraId="36638BCE" w14:textId="77777777" w:rsidR="00FB41AA" w:rsidRDefault="00FB41AA" w:rsidP="00BA4A2D">
      <w:pPr>
        <w:pStyle w:val="ListParagraph"/>
        <w:widowControl w:val="0"/>
      </w:pPr>
    </w:p>
    <w:p w14:paraId="23F73248" w14:textId="77777777" w:rsidR="00FB41AA" w:rsidRDefault="00FB41AA" w:rsidP="00BA4A2D">
      <w:pPr>
        <w:pStyle w:val="ListParagraph"/>
        <w:widowControl w:val="0"/>
        <w:numPr>
          <w:ilvl w:val="0"/>
          <w:numId w:val="5"/>
        </w:numPr>
      </w:pPr>
      <w:r>
        <w:t>I am poor at doing labs/activities to explore physics questions.</w:t>
      </w:r>
      <w:r w:rsidRPr="009C78FE">
        <w:t xml:space="preserve"> </w:t>
      </w:r>
    </w:p>
    <w:p w14:paraId="5D50C2D4" w14:textId="77777777" w:rsidR="00FB41AA" w:rsidRDefault="00FB41AA" w:rsidP="00BA4A2D">
      <w:pPr>
        <w:pStyle w:val="ListParagraph"/>
        <w:widowControl w:val="0"/>
      </w:pPr>
    </w:p>
    <w:p w14:paraId="7E4F3493" w14:textId="77777777" w:rsidR="00FB41AA" w:rsidRDefault="00FB41AA" w:rsidP="00BA4A2D">
      <w:pPr>
        <w:pStyle w:val="ListParagraph"/>
        <w:widowControl w:val="0"/>
      </w:pPr>
      <w:r>
        <w:t>1 Strongly disagree</w:t>
      </w:r>
      <w:r>
        <w:tab/>
        <w:t>2 Disagree</w:t>
      </w:r>
      <w:r>
        <w:tab/>
        <w:t>3 Neutral</w:t>
      </w:r>
      <w:r>
        <w:tab/>
        <w:t>4 Agree</w:t>
      </w:r>
      <w:r>
        <w:tab/>
        <w:t>5 Strongly Agree</w:t>
      </w:r>
    </w:p>
    <w:p w14:paraId="3FA0EB61" w14:textId="77777777" w:rsidR="00FB41AA" w:rsidRDefault="00FB41AA" w:rsidP="00BA4A2D">
      <w:pPr>
        <w:pStyle w:val="ListParagraph"/>
        <w:widowControl w:val="0"/>
      </w:pPr>
    </w:p>
    <w:p w14:paraId="1B72CB5F" w14:textId="77777777" w:rsidR="00FB41AA" w:rsidRDefault="00FB41AA" w:rsidP="00BA4A2D">
      <w:pPr>
        <w:pStyle w:val="ListParagraph"/>
        <w:widowControl w:val="0"/>
        <w:numPr>
          <w:ilvl w:val="0"/>
          <w:numId w:val="5"/>
        </w:numPr>
      </w:pPr>
      <w:r>
        <w:t>The instructor in this course encouraged me to put forth my best efforts.</w:t>
      </w:r>
      <w:r w:rsidRPr="009C78FE">
        <w:t xml:space="preserve"> </w:t>
      </w:r>
    </w:p>
    <w:p w14:paraId="1DF0BAE7" w14:textId="77777777" w:rsidR="00FB41AA" w:rsidRDefault="00FB41AA" w:rsidP="00BA4A2D">
      <w:pPr>
        <w:pStyle w:val="ListParagraph"/>
        <w:widowControl w:val="0"/>
      </w:pPr>
    </w:p>
    <w:p w14:paraId="373EFD05" w14:textId="77777777" w:rsidR="00FB41AA" w:rsidRDefault="00FB41AA" w:rsidP="00BA4A2D">
      <w:pPr>
        <w:pStyle w:val="ListParagraph"/>
        <w:widowControl w:val="0"/>
      </w:pPr>
      <w:r>
        <w:t>1 Strongly disagree</w:t>
      </w:r>
      <w:r>
        <w:tab/>
        <w:t>2 Disagree</w:t>
      </w:r>
      <w:r>
        <w:tab/>
        <w:t>3 Neutral</w:t>
      </w:r>
      <w:r>
        <w:tab/>
        <w:t>4 Agree</w:t>
      </w:r>
      <w:r>
        <w:tab/>
        <w:t>5 Strongly Agree</w:t>
      </w:r>
    </w:p>
    <w:p w14:paraId="067D7F23" w14:textId="77777777" w:rsidR="00FB41AA" w:rsidRDefault="00FB41AA" w:rsidP="00BA4A2D">
      <w:pPr>
        <w:pStyle w:val="ListParagraph"/>
        <w:widowControl w:val="0"/>
      </w:pPr>
    </w:p>
    <w:p w14:paraId="17831EC9" w14:textId="77777777" w:rsidR="00FB41AA" w:rsidRDefault="00FB41AA" w:rsidP="00BA4A2D">
      <w:pPr>
        <w:pStyle w:val="ListParagraph"/>
        <w:widowControl w:val="0"/>
        <w:numPr>
          <w:ilvl w:val="0"/>
          <w:numId w:val="5"/>
        </w:numPr>
      </w:pPr>
      <w:r>
        <w:t>I rarely knew the answer to questions raised in class.</w:t>
      </w:r>
      <w:r w:rsidRPr="009C78FE">
        <w:t xml:space="preserve"> </w:t>
      </w:r>
    </w:p>
    <w:p w14:paraId="1C40B9EC" w14:textId="77777777" w:rsidR="00FB41AA" w:rsidRDefault="00FB41AA" w:rsidP="00BA4A2D">
      <w:pPr>
        <w:pStyle w:val="ListParagraph"/>
        <w:widowControl w:val="0"/>
      </w:pPr>
    </w:p>
    <w:p w14:paraId="7A294F59" w14:textId="77777777" w:rsidR="00FB41AA" w:rsidRDefault="00FB41AA" w:rsidP="00BA4A2D">
      <w:pPr>
        <w:pStyle w:val="ListParagraph"/>
        <w:widowControl w:val="0"/>
      </w:pPr>
      <w:r>
        <w:t>1 Strongly disagree</w:t>
      </w:r>
      <w:r>
        <w:tab/>
        <w:t>2 Disagree</w:t>
      </w:r>
      <w:r>
        <w:tab/>
        <w:t>3 Neutral</w:t>
      </w:r>
      <w:r>
        <w:tab/>
        <w:t>4 Agree</w:t>
      </w:r>
      <w:r>
        <w:tab/>
        <w:t>5 Strongly Agree</w:t>
      </w:r>
    </w:p>
    <w:p w14:paraId="1DD60784" w14:textId="77777777" w:rsidR="00FB41AA" w:rsidRDefault="00FB41AA" w:rsidP="00BA4A2D">
      <w:pPr>
        <w:pStyle w:val="ListParagraph"/>
        <w:widowControl w:val="0"/>
      </w:pPr>
    </w:p>
    <w:p w14:paraId="36EB01EF" w14:textId="77777777" w:rsidR="00FB41AA" w:rsidRDefault="00FB41AA" w:rsidP="00BA4A2D">
      <w:pPr>
        <w:pStyle w:val="ListParagraph"/>
        <w:widowControl w:val="0"/>
      </w:pPr>
    </w:p>
    <w:p w14:paraId="70B60364" w14:textId="77777777" w:rsidR="00FB41AA" w:rsidRDefault="00FB41AA" w:rsidP="00BA4A2D">
      <w:pPr>
        <w:pStyle w:val="ListParagraph"/>
        <w:widowControl w:val="0"/>
      </w:pPr>
    </w:p>
    <w:p w14:paraId="11ACFDCE" w14:textId="77777777" w:rsidR="00FB41AA" w:rsidRDefault="00FB41AA" w:rsidP="00BA4A2D">
      <w:pPr>
        <w:pStyle w:val="ListParagraph"/>
        <w:widowControl w:val="0"/>
      </w:pPr>
    </w:p>
    <w:p w14:paraId="34917FA9" w14:textId="77777777" w:rsidR="00FB41AA" w:rsidRDefault="00FB41AA" w:rsidP="00BA4A2D">
      <w:pPr>
        <w:pStyle w:val="ListParagraph"/>
        <w:widowControl w:val="0"/>
      </w:pPr>
    </w:p>
    <w:p w14:paraId="4CDB363C" w14:textId="77777777" w:rsidR="00FB41AA" w:rsidRDefault="00FB41AA" w:rsidP="00BA4A2D">
      <w:pPr>
        <w:pStyle w:val="ListParagraph"/>
        <w:widowControl w:val="0"/>
        <w:numPr>
          <w:ilvl w:val="0"/>
          <w:numId w:val="5"/>
        </w:numPr>
      </w:pPr>
      <w:r>
        <w:t>Physics make me feel uneasy and confused.</w:t>
      </w:r>
      <w:r w:rsidRPr="009C78FE">
        <w:t xml:space="preserve"> </w:t>
      </w:r>
    </w:p>
    <w:p w14:paraId="10BC6C59" w14:textId="77777777" w:rsidR="00FB41AA" w:rsidRDefault="00FB41AA" w:rsidP="00BA4A2D">
      <w:pPr>
        <w:pStyle w:val="ListParagraph"/>
        <w:widowControl w:val="0"/>
      </w:pPr>
    </w:p>
    <w:p w14:paraId="27954FED" w14:textId="77777777" w:rsidR="00FB41AA" w:rsidRDefault="00FB41AA" w:rsidP="00BA4A2D">
      <w:pPr>
        <w:pStyle w:val="ListParagraph"/>
        <w:widowControl w:val="0"/>
      </w:pPr>
      <w:r>
        <w:t>1 Strongly disagree</w:t>
      </w:r>
      <w:r>
        <w:tab/>
        <w:t>2 Disagree</w:t>
      </w:r>
      <w:r>
        <w:tab/>
        <w:t>3 Neutral</w:t>
      </w:r>
      <w:r>
        <w:tab/>
        <w:t>4 Agree</w:t>
      </w:r>
      <w:r>
        <w:tab/>
        <w:t>5 Strongly Agree</w:t>
      </w:r>
    </w:p>
    <w:p w14:paraId="2627F66A" w14:textId="77777777" w:rsidR="00FB41AA" w:rsidRDefault="00FB41AA" w:rsidP="00BA4A2D">
      <w:pPr>
        <w:pStyle w:val="ListParagraph"/>
        <w:widowControl w:val="0"/>
      </w:pPr>
    </w:p>
    <w:p w14:paraId="662506A4" w14:textId="77777777" w:rsidR="00FB41AA" w:rsidRDefault="00FB41AA" w:rsidP="00BA4A2D">
      <w:pPr>
        <w:pStyle w:val="ListParagraph"/>
        <w:widowControl w:val="0"/>
        <w:numPr>
          <w:ilvl w:val="0"/>
          <w:numId w:val="5"/>
        </w:numPr>
      </w:pPr>
      <w:r>
        <w:t>I identified with the students in this class who did well on exams/quizzes.</w:t>
      </w:r>
      <w:r w:rsidRPr="009C78FE">
        <w:t xml:space="preserve"> </w:t>
      </w:r>
    </w:p>
    <w:p w14:paraId="357C9C04" w14:textId="77777777" w:rsidR="00FB41AA" w:rsidRDefault="00FB41AA" w:rsidP="00BA4A2D">
      <w:pPr>
        <w:pStyle w:val="ListParagraph"/>
        <w:widowControl w:val="0"/>
      </w:pPr>
    </w:p>
    <w:p w14:paraId="087A2883" w14:textId="77777777" w:rsidR="00FB41AA" w:rsidRDefault="00FB41AA" w:rsidP="00BA4A2D">
      <w:pPr>
        <w:pStyle w:val="ListParagraph"/>
        <w:widowControl w:val="0"/>
      </w:pPr>
      <w:r>
        <w:t>1 Strongly disagree</w:t>
      </w:r>
      <w:r>
        <w:tab/>
        <w:t>2 Disagree</w:t>
      </w:r>
      <w:r>
        <w:tab/>
        <w:t>3 Neutral</w:t>
      </w:r>
      <w:r>
        <w:tab/>
        <w:t>4 Agree</w:t>
      </w:r>
      <w:r>
        <w:tab/>
        <w:t>5 Strongly Agree</w:t>
      </w:r>
    </w:p>
    <w:p w14:paraId="5170E203" w14:textId="77777777" w:rsidR="00FB41AA" w:rsidRDefault="00FB41AA" w:rsidP="00BA4A2D">
      <w:pPr>
        <w:pStyle w:val="ListParagraph"/>
        <w:widowControl w:val="0"/>
      </w:pPr>
    </w:p>
    <w:p w14:paraId="729B5E4F" w14:textId="77777777" w:rsidR="00FB41AA" w:rsidRDefault="00FB41AA" w:rsidP="00BA4A2D">
      <w:pPr>
        <w:pStyle w:val="ListParagraph"/>
        <w:widowControl w:val="0"/>
        <w:numPr>
          <w:ilvl w:val="0"/>
          <w:numId w:val="5"/>
        </w:numPr>
      </w:pPr>
      <w:r>
        <w:lastRenderedPageBreak/>
        <w:t>I got positive feedback about my ability to recall physics ideas.</w:t>
      </w:r>
      <w:r w:rsidRPr="009C78FE">
        <w:t xml:space="preserve"> </w:t>
      </w:r>
    </w:p>
    <w:p w14:paraId="4D7DF901" w14:textId="77777777" w:rsidR="00FB41AA" w:rsidRDefault="00FB41AA" w:rsidP="00BA4A2D">
      <w:pPr>
        <w:pStyle w:val="ListParagraph"/>
        <w:widowControl w:val="0"/>
      </w:pPr>
    </w:p>
    <w:p w14:paraId="74C68263" w14:textId="77777777" w:rsidR="00FB41AA" w:rsidRDefault="00FB41AA" w:rsidP="00BA4A2D">
      <w:pPr>
        <w:pStyle w:val="ListParagraph"/>
        <w:widowControl w:val="0"/>
      </w:pPr>
      <w:r>
        <w:t>1 Strongly disagree</w:t>
      </w:r>
      <w:r>
        <w:tab/>
        <w:t>2 Disagree</w:t>
      </w:r>
      <w:r>
        <w:tab/>
        <w:t>3 Neutral</w:t>
      </w:r>
      <w:r>
        <w:tab/>
        <w:t>4 Agree</w:t>
      </w:r>
      <w:r>
        <w:tab/>
        <w:t>5 Strongly Agree</w:t>
      </w:r>
    </w:p>
    <w:p w14:paraId="7E8506CC" w14:textId="77777777" w:rsidR="00FB41AA" w:rsidRDefault="00FB41AA" w:rsidP="00BA4A2D">
      <w:pPr>
        <w:pStyle w:val="ListParagraph"/>
        <w:widowControl w:val="0"/>
      </w:pPr>
    </w:p>
    <w:p w14:paraId="5062C39C" w14:textId="77777777" w:rsidR="00FB41AA" w:rsidRDefault="00FB41AA" w:rsidP="00BA4A2D">
      <w:pPr>
        <w:pStyle w:val="ListParagraph"/>
        <w:widowControl w:val="0"/>
        <w:numPr>
          <w:ilvl w:val="0"/>
          <w:numId w:val="5"/>
        </w:numPr>
      </w:pPr>
      <w:r>
        <w:t>I got a sinking feeling when I thought of trying hard physics problems.</w:t>
      </w:r>
      <w:r w:rsidRPr="009C78FE">
        <w:t xml:space="preserve"> </w:t>
      </w:r>
    </w:p>
    <w:p w14:paraId="77F7091E" w14:textId="77777777" w:rsidR="00FB41AA" w:rsidRDefault="00FB41AA" w:rsidP="00BA4A2D">
      <w:pPr>
        <w:pStyle w:val="ListParagraph"/>
        <w:widowControl w:val="0"/>
      </w:pPr>
    </w:p>
    <w:p w14:paraId="5B25AEBF" w14:textId="77777777" w:rsidR="00FB41AA" w:rsidRDefault="00FB41AA" w:rsidP="00BA4A2D">
      <w:pPr>
        <w:pStyle w:val="ListParagraph"/>
        <w:widowControl w:val="0"/>
      </w:pPr>
      <w:r>
        <w:t>1 Strongly disagree</w:t>
      </w:r>
      <w:r>
        <w:tab/>
        <w:t>2 Disagree</w:t>
      </w:r>
      <w:r>
        <w:tab/>
        <w:t>3 Neutral</w:t>
      </w:r>
      <w:r>
        <w:tab/>
        <w:t>4 Agree</w:t>
      </w:r>
      <w:r>
        <w:tab/>
        <w:t>5 Strongly Agree</w:t>
      </w:r>
    </w:p>
    <w:p w14:paraId="4FADB020" w14:textId="77777777" w:rsidR="00FB41AA" w:rsidRDefault="00FB41AA" w:rsidP="00BA4A2D">
      <w:pPr>
        <w:pStyle w:val="ListParagraph"/>
        <w:widowControl w:val="0"/>
      </w:pPr>
    </w:p>
    <w:p w14:paraId="554A9430" w14:textId="77777777" w:rsidR="00FB41AA" w:rsidRDefault="00FB41AA" w:rsidP="00BA4A2D">
      <w:pPr>
        <w:pStyle w:val="ListParagraph"/>
        <w:widowControl w:val="0"/>
        <w:numPr>
          <w:ilvl w:val="0"/>
          <w:numId w:val="5"/>
        </w:numPr>
      </w:pPr>
      <w:r>
        <w:t>I learned a lot by doing my physics assignments/activities.</w:t>
      </w:r>
      <w:r w:rsidRPr="009C78FE">
        <w:t xml:space="preserve"> </w:t>
      </w:r>
    </w:p>
    <w:p w14:paraId="2923EA1A" w14:textId="77777777" w:rsidR="00FB41AA" w:rsidRDefault="00FB41AA" w:rsidP="00BA4A2D">
      <w:pPr>
        <w:pStyle w:val="ListParagraph"/>
        <w:widowControl w:val="0"/>
      </w:pPr>
    </w:p>
    <w:p w14:paraId="61D8BA2A" w14:textId="77777777" w:rsidR="00FB41AA" w:rsidRDefault="00FB41AA" w:rsidP="00BA4A2D">
      <w:pPr>
        <w:pStyle w:val="ListParagraph"/>
        <w:widowControl w:val="0"/>
      </w:pPr>
      <w:r>
        <w:t>1 Strongly disagree</w:t>
      </w:r>
      <w:r>
        <w:tab/>
        <w:t>2 Disagree</w:t>
      </w:r>
      <w:r>
        <w:tab/>
        <w:t>3 Neutral</w:t>
      </w:r>
      <w:r>
        <w:tab/>
        <w:t>4 Agree</w:t>
      </w:r>
      <w:r>
        <w:tab/>
        <w:t>5 Strongly Agree</w:t>
      </w:r>
    </w:p>
    <w:p w14:paraId="526ACB7A" w14:textId="77777777" w:rsidR="00FB41AA" w:rsidRDefault="00FB41AA" w:rsidP="00BA4A2D">
      <w:pPr>
        <w:pStyle w:val="ListParagraph"/>
        <w:widowControl w:val="0"/>
      </w:pPr>
    </w:p>
    <w:p w14:paraId="660CE893" w14:textId="77777777" w:rsidR="00FB41AA" w:rsidRDefault="00FB41AA" w:rsidP="00BA4A2D">
      <w:pPr>
        <w:pStyle w:val="ListParagraph"/>
        <w:widowControl w:val="0"/>
        <w:numPr>
          <w:ilvl w:val="0"/>
          <w:numId w:val="5"/>
        </w:numPr>
      </w:pPr>
      <w:r>
        <w:t>During this course, I admired my instructor’s understanding of physics.</w:t>
      </w:r>
      <w:r w:rsidRPr="009C78FE">
        <w:t xml:space="preserve"> </w:t>
      </w:r>
    </w:p>
    <w:p w14:paraId="184346C4" w14:textId="77777777" w:rsidR="00FB41AA" w:rsidRDefault="00FB41AA" w:rsidP="00BA4A2D">
      <w:pPr>
        <w:pStyle w:val="ListParagraph"/>
        <w:widowControl w:val="0"/>
      </w:pPr>
    </w:p>
    <w:p w14:paraId="67FE8E3D" w14:textId="77777777" w:rsidR="00FB41AA" w:rsidRDefault="00FB41AA" w:rsidP="00BA4A2D">
      <w:pPr>
        <w:pStyle w:val="ListParagraph"/>
        <w:widowControl w:val="0"/>
      </w:pPr>
      <w:r>
        <w:t>1 Strongly disagree</w:t>
      </w:r>
      <w:r>
        <w:tab/>
        <w:t>2 Disagree</w:t>
      </w:r>
      <w:r>
        <w:tab/>
        <w:t>3 Neutral</w:t>
      </w:r>
      <w:r>
        <w:tab/>
        <w:t>4 Agree</w:t>
      </w:r>
      <w:r>
        <w:tab/>
        <w:t>5 Strongly Agree</w:t>
      </w:r>
    </w:p>
    <w:p w14:paraId="2BA3AD7A" w14:textId="77777777" w:rsidR="00FB41AA" w:rsidRDefault="00FB41AA" w:rsidP="00BA4A2D">
      <w:pPr>
        <w:pStyle w:val="ListParagraph"/>
        <w:widowControl w:val="0"/>
      </w:pPr>
    </w:p>
    <w:p w14:paraId="4142E9B4" w14:textId="77777777" w:rsidR="00FB41AA" w:rsidRDefault="00FB41AA" w:rsidP="00BA4A2D">
      <w:pPr>
        <w:pStyle w:val="ListParagraph"/>
        <w:widowControl w:val="0"/>
        <w:numPr>
          <w:ilvl w:val="0"/>
          <w:numId w:val="5"/>
        </w:numPr>
      </w:pPr>
      <w:r>
        <w:t>In-class discussions and activities helped me to relax, understand, and enjoy my experience in the course.</w:t>
      </w:r>
      <w:r w:rsidRPr="009C78FE">
        <w:t xml:space="preserve"> </w:t>
      </w:r>
    </w:p>
    <w:p w14:paraId="3F0C63B3" w14:textId="77777777" w:rsidR="00FB41AA" w:rsidRDefault="00FB41AA" w:rsidP="00BA4A2D">
      <w:pPr>
        <w:pStyle w:val="ListParagraph"/>
        <w:widowControl w:val="0"/>
      </w:pPr>
    </w:p>
    <w:p w14:paraId="5959A48A" w14:textId="77777777" w:rsidR="00FB41AA" w:rsidRDefault="00FB41AA" w:rsidP="00BA4A2D">
      <w:pPr>
        <w:pStyle w:val="ListParagraph"/>
        <w:widowControl w:val="0"/>
      </w:pPr>
      <w:r>
        <w:t>1 Strongly disagree</w:t>
      </w:r>
      <w:r>
        <w:tab/>
        <w:t>2 Disagree</w:t>
      </w:r>
      <w:r>
        <w:tab/>
        <w:t>3 Neutral</w:t>
      </w:r>
      <w:r>
        <w:tab/>
        <w:t>4 Agree</w:t>
      </w:r>
      <w:r>
        <w:tab/>
        <w:t>5 Strongly Agree</w:t>
      </w:r>
    </w:p>
    <w:p w14:paraId="5F0A2C28" w14:textId="77777777" w:rsidR="00FB41AA" w:rsidRDefault="00FB41AA" w:rsidP="00BA4A2D">
      <w:pPr>
        <w:pStyle w:val="ListParagraph"/>
        <w:widowControl w:val="0"/>
      </w:pPr>
    </w:p>
    <w:p w14:paraId="244CD532" w14:textId="77777777" w:rsidR="00FB41AA" w:rsidRDefault="00FB41AA" w:rsidP="00BA4A2D">
      <w:pPr>
        <w:pStyle w:val="ListParagraph"/>
        <w:widowControl w:val="0"/>
        <w:numPr>
          <w:ilvl w:val="0"/>
          <w:numId w:val="5"/>
        </w:numPr>
      </w:pPr>
      <w:r>
        <w:t>My instructor’s feedback discouraged me about my ability to perform well on physics exams/quizzes.</w:t>
      </w:r>
      <w:r w:rsidRPr="009C78FE">
        <w:t xml:space="preserve"> </w:t>
      </w:r>
    </w:p>
    <w:p w14:paraId="329BB0C3" w14:textId="77777777" w:rsidR="00FB41AA" w:rsidRDefault="00FB41AA" w:rsidP="00BA4A2D">
      <w:pPr>
        <w:pStyle w:val="ListParagraph"/>
        <w:widowControl w:val="0"/>
      </w:pPr>
    </w:p>
    <w:p w14:paraId="19D8FB43" w14:textId="77777777" w:rsidR="00FB41AA" w:rsidRDefault="00FB41AA" w:rsidP="00BA4A2D">
      <w:pPr>
        <w:pStyle w:val="ListParagraph"/>
        <w:widowControl w:val="0"/>
      </w:pPr>
      <w:r>
        <w:t>1 Strongly disagree</w:t>
      </w:r>
      <w:r>
        <w:tab/>
        <w:t>2 Disagree</w:t>
      </w:r>
      <w:r>
        <w:tab/>
        <w:t>3 Neutral</w:t>
      </w:r>
      <w:r>
        <w:tab/>
        <w:t>4 Agree</w:t>
      </w:r>
      <w:r>
        <w:tab/>
        <w:t>5 Strongly Agree</w:t>
      </w:r>
    </w:p>
    <w:p w14:paraId="342C0BB0" w14:textId="77777777" w:rsidR="00FB41AA" w:rsidRDefault="00FB41AA" w:rsidP="00BA4A2D">
      <w:pPr>
        <w:pStyle w:val="ListParagraph"/>
        <w:widowControl w:val="0"/>
      </w:pPr>
    </w:p>
    <w:p w14:paraId="18C92A51" w14:textId="77777777" w:rsidR="00FB41AA" w:rsidRDefault="00FB41AA" w:rsidP="00BA4A2D">
      <w:pPr>
        <w:pStyle w:val="ListParagraph"/>
        <w:widowControl w:val="0"/>
        <w:numPr>
          <w:ilvl w:val="0"/>
          <w:numId w:val="5"/>
        </w:numPr>
      </w:pPr>
      <w:r>
        <w:t>It was fun to go to this class.</w:t>
      </w:r>
      <w:r w:rsidRPr="009C78FE">
        <w:t xml:space="preserve"> </w:t>
      </w:r>
    </w:p>
    <w:p w14:paraId="786934EC" w14:textId="77777777" w:rsidR="00FB41AA" w:rsidRDefault="00FB41AA" w:rsidP="00BA4A2D">
      <w:pPr>
        <w:pStyle w:val="ListParagraph"/>
        <w:widowControl w:val="0"/>
      </w:pPr>
    </w:p>
    <w:p w14:paraId="77203738" w14:textId="77777777" w:rsidR="00FB41AA" w:rsidRDefault="00FB41AA" w:rsidP="00BA4A2D">
      <w:pPr>
        <w:pStyle w:val="ListParagraph"/>
        <w:widowControl w:val="0"/>
      </w:pPr>
      <w:r>
        <w:t>1 Strongly disagree</w:t>
      </w:r>
      <w:r>
        <w:tab/>
        <w:t>2 Disagree</w:t>
      </w:r>
      <w:r>
        <w:tab/>
        <w:t>3 Neutral</w:t>
      </w:r>
      <w:r>
        <w:tab/>
        <w:t>4 Agree</w:t>
      </w:r>
      <w:r>
        <w:tab/>
        <w:t>5 Strongly Agree</w:t>
      </w:r>
    </w:p>
    <w:p w14:paraId="29F3585B" w14:textId="77777777" w:rsidR="00FB41AA" w:rsidRDefault="00FB41AA" w:rsidP="00BA4A2D">
      <w:pPr>
        <w:pStyle w:val="ListParagraph"/>
        <w:widowControl w:val="0"/>
      </w:pPr>
    </w:p>
    <w:p w14:paraId="77915C05" w14:textId="77777777" w:rsidR="00FB41AA" w:rsidRDefault="00FB41AA" w:rsidP="00BA4A2D">
      <w:pPr>
        <w:pStyle w:val="ListParagraph"/>
        <w:widowControl w:val="0"/>
        <w:numPr>
          <w:ilvl w:val="0"/>
          <w:numId w:val="5"/>
        </w:numPr>
      </w:pPr>
      <w:r>
        <w:t>I could relate to many classmates who were involved and attentive in class.</w:t>
      </w:r>
      <w:r w:rsidRPr="009C78FE">
        <w:t xml:space="preserve"> </w:t>
      </w:r>
    </w:p>
    <w:p w14:paraId="1E84182A" w14:textId="77777777" w:rsidR="00FB41AA" w:rsidRDefault="00FB41AA" w:rsidP="00BA4A2D">
      <w:pPr>
        <w:pStyle w:val="ListParagraph"/>
        <w:widowControl w:val="0"/>
      </w:pPr>
    </w:p>
    <w:p w14:paraId="4C9FCFE9" w14:textId="77777777" w:rsidR="00FB41AA" w:rsidRDefault="00FB41AA" w:rsidP="00BA4A2D">
      <w:pPr>
        <w:pStyle w:val="ListParagraph"/>
        <w:widowControl w:val="0"/>
      </w:pPr>
      <w:r>
        <w:t>1 Strongly disagree</w:t>
      </w:r>
      <w:r>
        <w:tab/>
        <w:t>2 Disagree</w:t>
      </w:r>
      <w:r>
        <w:tab/>
        <w:t>3 Neutral</w:t>
      </w:r>
      <w:r>
        <w:tab/>
        <w:t>4 Agree</w:t>
      </w:r>
      <w:r>
        <w:tab/>
        <w:t>5 Strongly Agree</w:t>
      </w:r>
    </w:p>
    <w:p w14:paraId="29F7F084" w14:textId="77777777" w:rsidR="00FB41AA" w:rsidRDefault="00FB41AA" w:rsidP="00BA4A2D">
      <w:pPr>
        <w:pStyle w:val="ListParagraph"/>
        <w:widowControl w:val="0"/>
      </w:pPr>
    </w:p>
    <w:p w14:paraId="27D2CDBF" w14:textId="77777777" w:rsidR="00FB41AA" w:rsidRDefault="00FB41AA" w:rsidP="00BA4A2D">
      <w:pPr>
        <w:pStyle w:val="ListParagraph"/>
        <w:widowControl w:val="0"/>
      </w:pPr>
    </w:p>
    <w:p w14:paraId="5D2BF166" w14:textId="77777777" w:rsidR="00FB41AA" w:rsidRDefault="00FB41AA" w:rsidP="00BA4A2D">
      <w:pPr>
        <w:pStyle w:val="ListParagraph"/>
        <w:widowControl w:val="0"/>
      </w:pPr>
    </w:p>
    <w:p w14:paraId="79D8CE29" w14:textId="77777777" w:rsidR="00FB41AA" w:rsidRDefault="00FB41AA" w:rsidP="00BA4A2D">
      <w:pPr>
        <w:pStyle w:val="ListParagraph"/>
        <w:widowControl w:val="0"/>
      </w:pPr>
    </w:p>
    <w:p w14:paraId="0D6A019E" w14:textId="77777777" w:rsidR="00FB41AA" w:rsidRDefault="00FB41AA" w:rsidP="00BA4A2D">
      <w:pPr>
        <w:pStyle w:val="ListParagraph"/>
        <w:widowControl w:val="0"/>
      </w:pPr>
    </w:p>
    <w:p w14:paraId="36CCD4A7" w14:textId="77777777" w:rsidR="00FB41AA" w:rsidRDefault="00FB41AA" w:rsidP="00BA4A2D">
      <w:pPr>
        <w:pStyle w:val="ListParagraph"/>
        <w:widowControl w:val="0"/>
        <w:numPr>
          <w:ilvl w:val="0"/>
          <w:numId w:val="5"/>
        </w:numPr>
      </w:pPr>
      <w:r>
        <w:t>No one in class has encouraged me to go on in science after this course.</w:t>
      </w:r>
      <w:r w:rsidRPr="009C78FE">
        <w:t xml:space="preserve"> </w:t>
      </w:r>
    </w:p>
    <w:p w14:paraId="6B06E4BB" w14:textId="77777777" w:rsidR="00FB41AA" w:rsidRDefault="00FB41AA" w:rsidP="00BA4A2D">
      <w:pPr>
        <w:pStyle w:val="ListParagraph"/>
        <w:widowControl w:val="0"/>
      </w:pPr>
    </w:p>
    <w:p w14:paraId="0281C084" w14:textId="77777777" w:rsidR="00FB41AA" w:rsidRDefault="00FB41AA" w:rsidP="00BA4A2D">
      <w:pPr>
        <w:pStyle w:val="ListParagraph"/>
        <w:widowControl w:val="0"/>
      </w:pPr>
      <w:r>
        <w:t>1 Strongly disagree</w:t>
      </w:r>
      <w:r>
        <w:tab/>
        <w:t>2 Disagree</w:t>
      </w:r>
      <w:r>
        <w:tab/>
        <w:t>3 Neutral</w:t>
      </w:r>
      <w:r>
        <w:tab/>
        <w:t>4 Agree</w:t>
      </w:r>
      <w:r>
        <w:tab/>
        <w:t>5 Strongly Agree</w:t>
      </w:r>
    </w:p>
    <w:p w14:paraId="46C32EB1" w14:textId="77777777" w:rsidR="00FB41AA" w:rsidRDefault="00FB41AA" w:rsidP="00BA4A2D">
      <w:pPr>
        <w:pStyle w:val="ListParagraph"/>
        <w:widowControl w:val="0"/>
      </w:pPr>
    </w:p>
    <w:p w14:paraId="48E3129F" w14:textId="77777777" w:rsidR="00FB41AA" w:rsidRDefault="00FB41AA" w:rsidP="00BA4A2D">
      <w:pPr>
        <w:pStyle w:val="ListParagraph"/>
        <w:widowControl w:val="0"/>
        <w:numPr>
          <w:ilvl w:val="0"/>
          <w:numId w:val="5"/>
        </w:numPr>
      </w:pPr>
      <w:r>
        <w:t>I got really uptight while taking exams/quizzes.</w:t>
      </w:r>
      <w:r w:rsidRPr="009C78FE">
        <w:t xml:space="preserve"> </w:t>
      </w:r>
    </w:p>
    <w:p w14:paraId="4A4E31D5" w14:textId="77777777" w:rsidR="00FB41AA" w:rsidRDefault="00FB41AA" w:rsidP="00BA4A2D">
      <w:pPr>
        <w:pStyle w:val="ListParagraph"/>
        <w:widowControl w:val="0"/>
      </w:pPr>
    </w:p>
    <w:p w14:paraId="34DA8A94" w14:textId="77777777" w:rsidR="00FB41AA" w:rsidRDefault="00FB41AA" w:rsidP="00BA4A2D">
      <w:pPr>
        <w:pStyle w:val="ListParagraph"/>
        <w:widowControl w:val="0"/>
      </w:pPr>
      <w:r>
        <w:t>1 Strongly disagree</w:t>
      </w:r>
      <w:r>
        <w:tab/>
        <w:t>2 Disagree</w:t>
      </w:r>
      <w:r>
        <w:tab/>
        <w:t>3 Neutral</w:t>
      </w:r>
      <w:r>
        <w:tab/>
        <w:t>4 Agree</w:t>
      </w:r>
      <w:r>
        <w:tab/>
        <w:t>5 Strongly Agree</w:t>
      </w:r>
    </w:p>
    <w:p w14:paraId="3F030D35" w14:textId="77777777" w:rsidR="00FB41AA" w:rsidRDefault="00FB41AA" w:rsidP="00BA4A2D">
      <w:pPr>
        <w:pStyle w:val="ListParagraph"/>
        <w:widowControl w:val="0"/>
      </w:pPr>
    </w:p>
    <w:p w14:paraId="731E81FE" w14:textId="77777777" w:rsidR="00FB41AA" w:rsidRDefault="00FB41AA" w:rsidP="00BA4A2D">
      <w:pPr>
        <w:pStyle w:val="ListParagraph"/>
        <w:widowControl w:val="0"/>
        <w:numPr>
          <w:ilvl w:val="0"/>
          <w:numId w:val="5"/>
        </w:numPr>
      </w:pPr>
      <w:r>
        <w:lastRenderedPageBreak/>
        <w:t>I can remember the basic physics concepts taught in this course.</w:t>
      </w:r>
      <w:r w:rsidRPr="009C78FE">
        <w:t xml:space="preserve"> </w:t>
      </w:r>
    </w:p>
    <w:p w14:paraId="746DE202" w14:textId="77777777" w:rsidR="00FB41AA" w:rsidRDefault="00FB41AA" w:rsidP="00BA4A2D">
      <w:pPr>
        <w:pStyle w:val="ListParagraph"/>
        <w:widowControl w:val="0"/>
      </w:pPr>
    </w:p>
    <w:p w14:paraId="368466EE" w14:textId="77777777" w:rsidR="00FB41AA" w:rsidRDefault="00FB41AA" w:rsidP="00BA4A2D">
      <w:pPr>
        <w:pStyle w:val="ListParagraph"/>
        <w:widowControl w:val="0"/>
      </w:pPr>
      <w:r>
        <w:t>1 Strongly disagree</w:t>
      </w:r>
      <w:r>
        <w:tab/>
        <w:t>2 Disagree</w:t>
      </w:r>
      <w:r>
        <w:tab/>
        <w:t>3 Neutral</w:t>
      </w:r>
      <w:r>
        <w:tab/>
        <w:t>4 Agree</w:t>
      </w:r>
      <w:r>
        <w:tab/>
        <w:t>5 Strongly Agree</w:t>
      </w:r>
    </w:p>
    <w:p w14:paraId="106D8A36" w14:textId="77777777" w:rsidR="00FB41AA" w:rsidRDefault="00FB41AA" w:rsidP="00BA4A2D">
      <w:pPr>
        <w:pStyle w:val="ListParagraph"/>
        <w:widowControl w:val="0"/>
      </w:pPr>
    </w:p>
    <w:p w14:paraId="555BF39C" w14:textId="77777777" w:rsidR="00FB41AA" w:rsidRDefault="00FB41AA" w:rsidP="00BA4A2D">
      <w:pPr>
        <w:pStyle w:val="ListParagraph"/>
        <w:widowControl w:val="0"/>
        <w:numPr>
          <w:ilvl w:val="0"/>
          <w:numId w:val="5"/>
        </w:numPr>
      </w:pPr>
      <w:r>
        <w:t xml:space="preserve">Classmates who were similar to me usually had trouble recalling details taught in this class. </w:t>
      </w:r>
    </w:p>
    <w:p w14:paraId="439D9824" w14:textId="77777777" w:rsidR="00FB41AA" w:rsidRDefault="00FB41AA" w:rsidP="00BA4A2D">
      <w:pPr>
        <w:pStyle w:val="ListParagraph"/>
        <w:widowControl w:val="0"/>
      </w:pPr>
    </w:p>
    <w:p w14:paraId="0FE26935" w14:textId="77777777" w:rsidR="00FB41AA" w:rsidRDefault="00FB41AA" w:rsidP="00BA4A2D">
      <w:pPr>
        <w:pStyle w:val="ListParagraph"/>
        <w:widowControl w:val="0"/>
      </w:pPr>
      <w:r>
        <w:t>1 Strongly disagree</w:t>
      </w:r>
      <w:r>
        <w:tab/>
        <w:t>2 Disagree</w:t>
      </w:r>
      <w:r>
        <w:tab/>
        <w:t>3 Neutral</w:t>
      </w:r>
      <w:r>
        <w:tab/>
        <w:t>4 Agree</w:t>
      </w:r>
      <w:r>
        <w:tab/>
        <w:t>5 Strongly Agree</w:t>
      </w:r>
    </w:p>
    <w:p w14:paraId="7BEADEB5" w14:textId="77777777" w:rsidR="00FB41AA" w:rsidRDefault="00FB41AA" w:rsidP="00BA4A2D">
      <w:pPr>
        <w:pStyle w:val="ListParagraph"/>
        <w:widowControl w:val="0"/>
      </w:pPr>
    </w:p>
    <w:p w14:paraId="7C6EB864" w14:textId="77777777" w:rsidR="00FB41AA" w:rsidRDefault="00FB41AA" w:rsidP="00BA4A2D">
      <w:pPr>
        <w:pStyle w:val="ListParagraph"/>
        <w:widowControl w:val="0"/>
        <w:numPr>
          <w:ilvl w:val="0"/>
          <w:numId w:val="5"/>
        </w:numPr>
      </w:pPr>
      <w:r>
        <w:t>My peers in this course encouraged me that I had the ability to do well on class projects/assignments.</w:t>
      </w:r>
      <w:r w:rsidRPr="009C78FE">
        <w:t xml:space="preserve"> </w:t>
      </w:r>
    </w:p>
    <w:p w14:paraId="3EA4D13C" w14:textId="77777777" w:rsidR="00FB41AA" w:rsidRDefault="00FB41AA" w:rsidP="00BA4A2D">
      <w:pPr>
        <w:pStyle w:val="ListParagraph"/>
        <w:widowControl w:val="0"/>
      </w:pPr>
    </w:p>
    <w:p w14:paraId="53FBBCD8" w14:textId="77777777" w:rsidR="00FB41AA" w:rsidRDefault="00FB41AA" w:rsidP="00BA4A2D">
      <w:pPr>
        <w:pStyle w:val="ListParagraph"/>
        <w:widowControl w:val="0"/>
      </w:pPr>
      <w:r>
        <w:t>1 Strongly disagree</w:t>
      </w:r>
      <w:r>
        <w:tab/>
        <w:t>2 Disagree</w:t>
      </w:r>
      <w:r>
        <w:tab/>
        <w:t>3 Neutral</w:t>
      </w:r>
      <w:r>
        <w:tab/>
        <w:t>4 Agree</w:t>
      </w:r>
      <w:r>
        <w:tab/>
        <w:t>5 Strongly Agree</w:t>
      </w:r>
    </w:p>
    <w:p w14:paraId="7B888055" w14:textId="77777777" w:rsidR="00FB41AA" w:rsidRDefault="00FB41AA" w:rsidP="00BA4A2D">
      <w:pPr>
        <w:pStyle w:val="ListParagraph"/>
        <w:widowControl w:val="0"/>
      </w:pPr>
    </w:p>
    <w:p w14:paraId="3EB0433A" w14:textId="77777777" w:rsidR="00FB41AA" w:rsidRDefault="00FB41AA" w:rsidP="00BA4A2D">
      <w:pPr>
        <w:pStyle w:val="ListParagraph"/>
        <w:widowControl w:val="0"/>
        <w:numPr>
          <w:ilvl w:val="0"/>
          <w:numId w:val="5"/>
        </w:numPr>
      </w:pPr>
      <w:r>
        <w:t>I was attentive and involved in what was going on in class.</w:t>
      </w:r>
      <w:r w:rsidRPr="009C78FE">
        <w:t xml:space="preserve"> </w:t>
      </w:r>
    </w:p>
    <w:p w14:paraId="0B0FD5C6" w14:textId="77777777" w:rsidR="00FB41AA" w:rsidRDefault="00FB41AA" w:rsidP="00BA4A2D">
      <w:pPr>
        <w:pStyle w:val="ListParagraph"/>
        <w:widowControl w:val="0"/>
      </w:pPr>
    </w:p>
    <w:p w14:paraId="7988CE44" w14:textId="77777777" w:rsidR="00FB41AA" w:rsidRDefault="00FB41AA" w:rsidP="00BA4A2D">
      <w:pPr>
        <w:pStyle w:val="ListParagraph"/>
        <w:widowControl w:val="0"/>
      </w:pPr>
      <w:r>
        <w:t>1 Strongly disagree</w:t>
      </w:r>
      <w:r>
        <w:tab/>
        <w:t>2 Disagree</w:t>
      </w:r>
      <w:r>
        <w:tab/>
        <w:t>3 Neutral</w:t>
      </w:r>
      <w:r>
        <w:tab/>
        <w:t>4 Agree</w:t>
      </w:r>
      <w:r>
        <w:tab/>
        <w:t>5 Strongly Agree</w:t>
      </w:r>
    </w:p>
    <w:p w14:paraId="105DEF88" w14:textId="77777777" w:rsidR="00FB41AA" w:rsidRDefault="00FB41AA" w:rsidP="00BA4A2D">
      <w:pPr>
        <w:pStyle w:val="ListParagraph"/>
        <w:widowControl w:val="0"/>
      </w:pPr>
    </w:p>
    <w:tbl>
      <w:tblPr>
        <w:tblStyle w:val="TableGrid"/>
        <w:tblW w:w="0" w:type="auto"/>
        <w:tblLook w:val="04A0" w:firstRow="1" w:lastRow="0" w:firstColumn="1" w:lastColumn="0" w:noHBand="0" w:noVBand="1"/>
      </w:tblPr>
      <w:tblGrid>
        <w:gridCol w:w="4675"/>
        <w:gridCol w:w="4675"/>
      </w:tblGrid>
      <w:tr w:rsidR="00FB41AA" w14:paraId="17E548E9" w14:textId="77777777" w:rsidTr="00FB41AA">
        <w:tc>
          <w:tcPr>
            <w:tcW w:w="4675" w:type="dxa"/>
          </w:tcPr>
          <w:p w14:paraId="7EBAEC60" w14:textId="77777777" w:rsidR="00FB41AA" w:rsidRPr="00B52F04" w:rsidRDefault="00FB41AA" w:rsidP="00BA4A2D">
            <w:pPr>
              <w:widowControl w:val="0"/>
              <w:spacing w:after="0" w:line="240" w:lineRule="auto"/>
              <w:jc w:val="center"/>
              <w:rPr>
                <w:b/>
              </w:rPr>
            </w:pPr>
            <w:r w:rsidRPr="00B52F04">
              <w:rPr>
                <w:b/>
              </w:rPr>
              <w:t>Source of Self-Efficacy</w:t>
            </w:r>
          </w:p>
        </w:tc>
        <w:tc>
          <w:tcPr>
            <w:tcW w:w="4675" w:type="dxa"/>
          </w:tcPr>
          <w:p w14:paraId="640B1303" w14:textId="77777777" w:rsidR="00FB41AA" w:rsidRPr="00B52F04" w:rsidRDefault="00FB41AA" w:rsidP="00BA4A2D">
            <w:pPr>
              <w:widowControl w:val="0"/>
              <w:spacing w:after="0" w:line="240" w:lineRule="auto"/>
              <w:jc w:val="center"/>
              <w:rPr>
                <w:b/>
              </w:rPr>
            </w:pPr>
            <w:r w:rsidRPr="00B52F04">
              <w:rPr>
                <w:b/>
              </w:rPr>
              <w:t>Item Numbers</w:t>
            </w:r>
          </w:p>
        </w:tc>
      </w:tr>
      <w:tr w:rsidR="00FB41AA" w14:paraId="6EDAE805" w14:textId="77777777" w:rsidTr="00FB41AA">
        <w:tc>
          <w:tcPr>
            <w:tcW w:w="4675" w:type="dxa"/>
          </w:tcPr>
          <w:p w14:paraId="522ADEEC" w14:textId="77777777" w:rsidR="00FB41AA" w:rsidRDefault="00FB41AA" w:rsidP="00BA4A2D">
            <w:pPr>
              <w:widowControl w:val="0"/>
              <w:spacing w:after="0" w:line="240" w:lineRule="auto"/>
            </w:pPr>
            <w:r>
              <w:t>Mastery Experiences (ME)</w:t>
            </w:r>
          </w:p>
        </w:tc>
        <w:tc>
          <w:tcPr>
            <w:tcW w:w="4675" w:type="dxa"/>
          </w:tcPr>
          <w:p w14:paraId="51B6DA20" w14:textId="77777777" w:rsidR="00FB41AA" w:rsidRDefault="00FB41AA" w:rsidP="00BA4A2D">
            <w:pPr>
              <w:widowControl w:val="0"/>
              <w:spacing w:after="0" w:line="240" w:lineRule="auto"/>
            </w:pPr>
            <w:r>
              <w:t>1, 4, 8R, 11R, 14R, 15R, 17R, 22, 30, 33</w:t>
            </w:r>
          </w:p>
        </w:tc>
      </w:tr>
      <w:tr w:rsidR="00FB41AA" w14:paraId="7CC1859A" w14:textId="77777777" w:rsidTr="00FB41AA">
        <w:tc>
          <w:tcPr>
            <w:tcW w:w="4675" w:type="dxa"/>
          </w:tcPr>
          <w:p w14:paraId="5F040552" w14:textId="77777777" w:rsidR="00FB41AA" w:rsidRDefault="00FB41AA" w:rsidP="00BA4A2D">
            <w:pPr>
              <w:widowControl w:val="0"/>
              <w:spacing w:after="0" w:line="240" w:lineRule="auto"/>
            </w:pPr>
            <w:r>
              <w:t>Vicarious Learning (VL)</w:t>
            </w:r>
          </w:p>
        </w:tc>
        <w:tc>
          <w:tcPr>
            <w:tcW w:w="4675" w:type="dxa"/>
          </w:tcPr>
          <w:p w14:paraId="384CFE38" w14:textId="77777777" w:rsidR="00FB41AA" w:rsidRDefault="00FB41AA" w:rsidP="00BA4A2D">
            <w:pPr>
              <w:widowControl w:val="0"/>
              <w:spacing w:after="0" w:line="240" w:lineRule="auto"/>
            </w:pPr>
            <w:r>
              <w:t>3R, 7R, 10, 19, 23, 27, 31R</w:t>
            </w:r>
          </w:p>
        </w:tc>
      </w:tr>
      <w:tr w:rsidR="00FB41AA" w14:paraId="5AA35C3D" w14:textId="77777777" w:rsidTr="00FB41AA">
        <w:tc>
          <w:tcPr>
            <w:tcW w:w="4675" w:type="dxa"/>
          </w:tcPr>
          <w:p w14:paraId="272F6E4A" w14:textId="77777777" w:rsidR="00FB41AA" w:rsidRDefault="00FB41AA" w:rsidP="00BA4A2D">
            <w:pPr>
              <w:widowControl w:val="0"/>
              <w:spacing w:after="0" w:line="240" w:lineRule="auto"/>
            </w:pPr>
            <w:r>
              <w:t>Social Persuasion (SP)</w:t>
            </w:r>
          </w:p>
        </w:tc>
        <w:tc>
          <w:tcPr>
            <w:tcW w:w="4675" w:type="dxa"/>
          </w:tcPr>
          <w:p w14:paraId="61A6E4C6" w14:textId="77777777" w:rsidR="00FB41AA" w:rsidRDefault="00FB41AA" w:rsidP="00BA4A2D">
            <w:pPr>
              <w:widowControl w:val="0"/>
              <w:spacing w:after="0" w:line="240" w:lineRule="auto"/>
            </w:pPr>
            <w:r>
              <w:t>5, 12, 16, 20, 25R, 28R, 32</w:t>
            </w:r>
          </w:p>
        </w:tc>
      </w:tr>
      <w:tr w:rsidR="00FB41AA" w14:paraId="5FB53B23" w14:textId="77777777" w:rsidTr="00FB41AA">
        <w:tc>
          <w:tcPr>
            <w:tcW w:w="4675" w:type="dxa"/>
          </w:tcPr>
          <w:p w14:paraId="481687F8" w14:textId="77777777" w:rsidR="00FB41AA" w:rsidRDefault="00FB41AA" w:rsidP="00BA4A2D">
            <w:pPr>
              <w:widowControl w:val="0"/>
              <w:spacing w:after="0" w:line="240" w:lineRule="auto"/>
            </w:pPr>
            <w:r>
              <w:t>Physiological State (PS)</w:t>
            </w:r>
          </w:p>
        </w:tc>
        <w:tc>
          <w:tcPr>
            <w:tcW w:w="4675" w:type="dxa"/>
          </w:tcPr>
          <w:p w14:paraId="236B1FF2" w14:textId="77777777" w:rsidR="00FB41AA" w:rsidRDefault="00FB41AA" w:rsidP="00BA4A2D">
            <w:pPr>
              <w:widowControl w:val="0"/>
              <w:spacing w:after="0" w:line="240" w:lineRule="auto"/>
            </w:pPr>
            <w:r>
              <w:t>2R, 6, 9, 13, 18R, 21R, 24, 26, 29R</w:t>
            </w:r>
          </w:p>
        </w:tc>
      </w:tr>
    </w:tbl>
    <w:p w14:paraId="46AA9EB5" w14:textId="77777777" w:rsidR="00FB41AA" w:rsidRPr="000E4B01" w:rsidRDefault="00FB41AA" w:rsidP="00BA4A2D">
      <w:pPr>
        <w:widowControl w:val="0"/>
        <w:spacing w:after="0" w:line="240" w:lineRule="auto"/>
        <w:jc w:val="center"/>
        <w:rPr>
          <w:rFonts w:ascii="Times New Roman" w:hAnsi="Times New Roman" w:cs="Times New Roman"/>
          <w:sz w:val="24"/>
          <w:szCs w:val="24"/>
        </w:rPr>
      </w:pPr>
    </w:p>
    <w:p w14:paraId="1A975C4C" w14:textId="77777777" w:rsidR="00FB41AA" w:rsidRDefault="00FB41AA" w:rsidP="00BA4A2D">
      <w:pPr>
        <w:widowControl w:val="0"/>
        <w:spacing w:after="0" w:line="240" w:lineRule="auto"/>
      </w:pPr>
      <w:r>
        <w:br w:type="page"/>
      </w:r>
    </w:p>
    <w:p w14:paraId="3BBCA195" w14:textId="77777777" w:rsidR="00FB41AA" w:rsidRPr="008253D6" w:rsidRDefault="00FB41AA" w:rsidP="00BA4A2D">
      <w:pPr>
        <w:pStyle w:val="Heading1"/>
        <w:jc w:val="center"/>
      </w:pPr>
      <w:bookmarkStart w:id="71" w:name="_Toc117501943"/>
      <w:r w:rsidRPr="008253D6">
        <w:lastRenderedPageBreak/>
        <w:t>Appendix D</w:t>
      </w:r>
      <w:bookmarkEnd w:id="71"/>
    </w:p>
    <w:p w14:paraId="2D9F5260" w14:textId="77777777" w:rsidR="00E0615F" w:rsidRPr="003F05F7" w:rsidRDefault="00E0615F" w:rsidP="00BA4A2D">
      <w:pPr>
        <w:pStyle w:val="Default"/>
        <w:widowControl w:val="0"/>
        <w:rPr>
          <w:rFonts w:ascii="Times New Roman" w:hAnsi="Times New Roman" w:cs="Times New Roman"/>
          <w:sz w:val="22"/>
          <w:szCs w:val="22"/>
        </w:rPr>
      </w:pPr>
      <w:r w:rsidRPr="003F05F7">
        <w:rPr>
          <w:rFonts w:ascii="Times New Roman" w:hAnsi="Times New Roman" w:cs="Times New Roman"/>
          <w:b/>
          <w:bCs/>
          <w:sz w:val="22"/>
          <w:szCs w:val="22"/>
        </w:rPr>
        <w:t xml:space="preserve">CUC IRB Study # </w:t>
      </w:r>
    </w:p>
    <w:p w14:paraId="5427E84B" w14:textId="77777777" w:rsidR="00E0615F" w:rsidRPr="003F05F7" w:rsidRDefault="00E0615F" w:rsidP="00BA4A2D">
      <w:pPr>
        <w:pStyle w:val="Default"/>
        <w:widowControl w:val="0"/>
        <w:rPr>
          <w:rFonts w:ascii="Times New Roman" w:hAnsi="Times New Roman" w:cs="Times New Roman"/>
          <w:b/>
          <w:bCs/>
          <w:sz w:val="22"/>
          <w:szCs w:val="22"/>
        </w:rPr>
      </w:pPr>
      <w:r w:rsidRPr="003F05F7">
        <w:rPr>
          <w:rFonts w:ascii="Times New Roman" w:hAnsi="Times New Roman" w:cs="Times New Roman"/>
          <w:b/>
          <w:bCs/>
          <w:sz w:val="22"/>
          <w:szCs w:val="22"/>
        </w:rPr>
        <w:t xml:space="preserve">CUC IRB Approval Date: _____________ </w:t>
      </w:r>
    </w:p>
    <w:p w14:paraId="2813FDF3" w14:textId="77777777" w:rsidR="00E0615F" w:rsidRPr="003F05F7" w:rsidRDefault="00E0615F" w:rsidP="00BA4A2D">
      <w:pPr>
        <w:pStyle w:val="Default"/>
        <w:widowControl w:val="0"/>
        <w:rPr>
          <w:rFonts w:ascii="Times New Roman" w:hAnsi="Times New Roman" w:cs="Times New Roman"/>
          <w:sz w:val="22"/>
          <w:szCs w:val="22"/>
        </w:rPr>
      </w:pPr>
    </w:p>
    <w:p w14:paraId="220222DA" w14:textId="77777777" w:rsidR="00E0615F" w:rsidRPr="003F05F7" w:rsidRDefault="00E0615F" w:rsidP="00BA4A2D">
      <w:pPr>
        <w:pStyle w:val="Default"/>
        <w:widowControl w:val="0"/>
        <w:jc w:val="center"/>
        <w:rPr>
          <w:rFonts w:ascii="Times New Roman" w:hAnsi="Times New Roman" w:cs="Times New Roman"/>
          <w:b/>
          <w:bCs/>
          <w:sz w:val="22"/>
          <w:szCs w:val="22"/>
        </w:rPr>
      </w:pPr>
      <w:r w:rsidRPr="003F05F7">
        <w:rPr>
          <w:rFonts w:ascii="Times New Roman" w:hAnsi="Times New Roman" w:cs="Times New Roman"/>
          <w:b/>
          <w:bCs/>
          <w:sz w:val="22"/>
          <w:szCs w:val="22"/>
        </w:rPr>
        <w:t>Informed Assent to Participate in a Research Study</w:t>
      </w:r>
    </w:p>
    <w:p w14:paraId="46FFDB4A" w14:textId="77777777" w:rsidR="00E0615F" w:rsidRPr="003F05F7" w:rsidRDefault="00E0615F" w:rsidP="00BA4A2D">
      <w:pPr>
        <w:pStyle w:val="Default"/>
        <w:widowControl w:val="0"/>
        <w:jc w:val="center"/>
        <w:rPr>
          <w:rFonts w:ascii="Times New Roman" w:hAnsi="Times New Roman" w:cs="Times New Roman"/>
          <w:b/>
          <w:bCs/>
          <w:sz w:val="22"/>
          <w:szCs w:val="22"/>
        </w:rPr>
      </w:pPr>
    </w:p>
    <w:p w14:paraId="075AA169" w14:textId="77777777" w:rsidR="00E0615F" w:rsidRPr="003F05F7" w:rsidRDefault="00E0615F" w:rsidP="00BA4A2D">
      <w:pPr>
        <w:pStyle w:val="Default"/>
        <w:widowControl w:val="0"/>
        <w:rPr>
          <w:rFonts w:ascii="Times New Roman" w:hAnsi="Times New Roman" w:cs="Times New Roman"/>
          <w:color w:val="222222"/>
          <w:sz w:val="22"/>
          <w:szCs w:val="22"/>
          <w:shd w:val="clear" w:color="auto" w:fill="FFFFFF"/>
        </w:rPr>
      </w:pPr>
      <w:r w:rsidRPr="003F05F7">
        <w:rPr>
          <w:rFonts w:ascii="Times New Roman" w:hAnsi="Times New Roman" w:cs="Times New Roman"/>
          <w:b/>
          <w:bCs/>
          <w:sz w:val="22"/>
          <w:szCs w:val="22"/>
        </w:rPr>
        <w:t xml:space="preserve">Study Title: </w:t>
      </w:r>
      <w:r w:rsidRPr="003F05F7">
        <w:rPr>
          <w:rFonts w:ascii="Times New Roman" w:hAnsi="Times New Roman" w:cs="Times New Roman"/>
          <w:color w:val="222222"/>
          <w:sz w:val="22"/>
          <w:szCs w:val="22"/>
          <w:shd w:val="clear" w:color="auto" w:fill="FFFFFF"/>
        </w:rPr>
        <w:t>Self-Efficacy in Advanced Physics Enrollment Decisions of High School Women</w:t>
      </w:r>
    </w:p>
    <w:p w14:paraId="3AEEF4A3" w14:textId="77777777" w:rsidR="00E0615F" w:rsidRPr="003F05F7" w:rsidRDefault="00E0615F" w:rsidP="00BA4A2D">
      <w:pPr>
        <w:pStyle w:val="Default"/>
        <w:widowControl w:val="0"/>
        <w:rPr>
          <w:rFonts w:ascii="Times New Roman" w:hAnsi="Times New Roman" w:cs="Times New Roman"/>
          <w:sz w:val="22"/>
          <w:szCs w:val="22"/>
        </w:rPr>
      </w:pPr>
    </w:p>
    <w:p w14:paraId="7C2BF398" w14:textId="77777777" w:rsidR="00E0615F" w:rsidRDefault="00E0615F" w:rsidP="00BA4A2D">
      <w:pPr>
        <w:pStyle w:val="Default"/>
        <w:widowControl w:val="0"/>
        <w:rPr>
          <w:rFonts w:ascii="Times New Roman" w:hAnsi="Times New Roman" w:cs="Times New Roman"/>
          <w:bCs/>
          <w:sz w:val="22"/>
          <w:szCs w:val="22"/>
        </w:rPr>
      </w:pPr>
      <w:r w:rsidRPr="003F05F7">
        <w:rPr>
          <w:rFonts w:ascii="Times New Roman" w:hAnsi="Times New Roman" w:cs="Times New Roman"/>
          <w:b/>
          <w:bCs/>
          <w:sz w:val="22"/>
          <w:szCs w:val="22"/>
        </w:rPr>
        <w:t xml:space="preserve">Principal Investigator: </w:t>
      </w:r>
      <w:r w:rsidRPr="003F05F7">
        <w:rPr>
          <w:rFonts w:ascii="Times New Roman" w:hAnsi="Times New Roman" w:cs="Times New Roman"/>
          <w:bCs/>
          <w:sz w:val="22"/>
          <w:szCs w:val="22"/>
        </w:rPr>
        <w:t>Mr. Robert Sherman</w:t>
      </w:r>
      <w:r>
        <w:rPr>
          <w:rFonts w:ascii="Times New Roman" w:hAnsi="Times New Roman" w:cs="Times New Roman"/>
          <w:bCs/>
          <w:sz w:val="22"/>
          <w:szCs w:val="22"/>
        </w:rPr>
        <w:t>, graduate student</w:t>
      </w:r>
    </w:p>
    <w:p w14:paraId="3D2CFB04" w14:textId="77777777" w:rsidR="00E0615F" w:rsidRPr="00ED2F27" w:rsidRDefault="00E0615F" w:rsidP="00BA4A2D">
      <w:pPr>
        <w:pStyle w:val="Default"/>
        <w:widowControl w:val="0"/>
        <w:rPr>
          <w:rFonts w:ascii="Times New Roman" w:hAnsi="Times New Roman" w:cs="Times New Roman"/>
          <w:bCs/>
          <w:sz w:val="22"/>
          <w:szCs w:val="22"/>
        </w:rPr>
      </w:pPr>
      <w:r w:rsidRPr="00ED2F27">
        <w:rPr>
          <w:rFonts w:ascii="Times New Roman" w:hAnsi="Times New Roman" w:cs="Times New Roman"/>
          <w:b/>
          <w:bCs/>
          <w:sz w:val="22"/>
          <w:szCs w:val="22"/>
        </w:rPr>
        <w:t>Dissertation Committee Chair:</w:t>
      </w:r>
      <w:r w:rsidRPr="00ED2F27">
        <w:rPr>
          <w:rFonts w:ascii="Times New Roman" w:hAnsi="Times New Roman" w:cs="Times New Roman"/>
          <w:bCs/>
          <w:sz w:val="22"/>
          <w:szCs w:val="22"/>
        </w:rPr>
        <w:t xml:space="preserve"> Dr. Steve Song </w:t>
      </w:r>
      <w:r>
        <w:rPr>
          <w:rFonts w:ascii="Times New Roman" w:hAnsi="Times New Roman" w:cs="Times New Roman"/>
          <w:bCs/>
          <w:sz w:val="22"/>
          <w:szCs w:val="22"/>
        </w:rPr>
        <w:t>(</w:t>
      </w:r>
      <w:r w:rsidRPr="00ED2F27">
        <w:rPr>
          <w:rFonts w:ascii="Times New Roman" w:hAnsi="Times New Roman" w:cs="Times New Roman"/>
          <w:color w:val="555555"/>
          <w:sz w:val="22"/>
          <w:szCs w:val="22"/>
          <w:shd w:val="clear" w:color="auto" w:fill="FFFFFF"/>
        </w:rPr>
        <w:t>Steve.Song@cuchicago.edu</w:t>
      </w:r>
      <w:r>
        <w:rPr>
          <w:rFonts w:ascii="Times New Roman" w:hAnsi="Times New Roman" w:cs="Times New Roman"/>
          <w:color w:val="555555"/>
          <w:sz w:val="22"/>
          <w:szCs w:val="22"/>
          <w:shd w:val="clear" w:color="auto" w:fill="FFFFFF"/>
        </w:rPr>
        <w:t>)</w:t>
      </w:r>
    </w:p>
    <w:p w14:paraId="01A69868" w14:textId="77777777" w:rsidR="00E0615F" w:rsidRPr="003F05F7" w:rsidRDefault="00E0615F" w:rsidP="00BA4A2D">
      <w:pPr>
        <w:pStyle w:val="Default"/>
        <w:widowControl w:val="0"/>
        <w:rPr>
          <w:rFonts w:ascii="Times New Roman" w:hAnsi="Times New Roman" w:cs="Times New Roman"/>
          <w:sz w:val="22"/>
          <w:szCs w:val="22"/>
        </w:rPr>
      </w:pPr>
    </w:p>
    <w:p w14:paraId="6F3179FD" w14:textId="75264736" w:rsidR="00E0615F" w:rsidRPr="00422A19" w:rsidRDefault="00E0615F" w:rsidP="00BA4A2D">
      <w:pPr>
        <w:widowControl w:val="0"/>
        <w:spacing w:after="0" w:line="240" w:lineRule="auto"/>
        <w:rPr>
          <w:rFonts w:ascii="Times New Roman" w:hAnsi="Times New Roman" w:cs="Times New Roman"/>
        </w:rPr>
      </w:pPr>
      <w:r w:rsidRPr="003F05F7">
        <w:rPr>
          <w:rFonts w:ascii="Times New Roman" w:hAnsi="Times New Roman" w:cs="Times New Roman"/>
          <w:b/>
          <w:bCs/>
        </w:rPr>
        <w:t xml:space="preserve">Purpose of the Study: </w:t>
      </w:r>
      <w:r w:rsidRPr="003F05F7">
        <w:rPr>
          <w:rFonts w:ascii="Times New Roman" w:hAnsi="Times New Roman" w:cs="Times New Roman"/>
        </w:rPr>
        <w:t xml:space="preserve">The purpose of this </w:t>
      </w:r>
      <w:r>
        <w:rPr>
          <w:rFonts w:ascii="Times New Roman" w:hAnsi="Times New Roman" w:cs="Times New Roman"/>
        </w:rPr>
        <w:t xml:space="preserve">research </w:t>
      </w:r>
      <w:r w:rsidRPr="003F05F7">
        <w:rPr>
          <w:rFonts w:ascii="Times New Roman" w:hAnsi="Times New Roman" w:cs="Times New Roman"/>
        </w:rPr>
        <w:t xml:space="preserve">study is to explore the impact sources of self-efficacy have on high school </w:t>
      </w:r>
      <w:r w:rsidR="008159B8">
        <w:rPr>
          <w:rFonts w:ascii="Times New Roman" w:hAnsi="Times New Roman" w:cs="Times New Roman"/>
        </w:rPr>
        <w:t>second-year physics</w:t>
      </w:r>
      <w:r w:rsidRPr="003F05F7">
        <w:rPr>
          <w:rFonts w:ascii="Times New Roman" w:hAnsi="Times New Roman" w:cs="Times New Roman"/>
        </w:rPr>
        <w:t xml:space="preserve"> enrollment patterns. Any differences between men and women will also be explored. </w:t>
      </w:r>
      <w:r w:rsidRPr="00422A19">
        <w:rPr>
          <w:rFonts w:ascii="Times New Roman" w:hAnsi="Times New Roman" w:cs="Times New Roman"/>
        </w:rPr>
        <w:t>This study is being conducted by Robert Sherman</w:t>
      </w:r>
      <w:r>
        <w:rPr>
          <w:rFonts w:ascii="Times New Roman" w:hAnsi="Times New Roman" w:cs="Times New Roman"/>
        </w:rPr>
        <w:t>,</w:t>
      </w:r>
      <w:r w:rsidRPr="00422A19">
        <w:rPr>
          <w:rFonts w:ascii="Times New Roman" w:hAnsi="Times New Roman" w:cs="Times New Roman"/>
        </w:rPr>
        <w:t xml:space="preserve"> a graduate student at Concordia University Chicago</w:t>
      </w:r>
      <w:r>
        <w:rPr>
          <w:rFonts w:ascii="Times New Roman" w:hAnsi="Times New Roman" w:cs="Times New Roman"/>
        </w:rPr>
        <w:t>,</w:t>
      </w:r>
      <w:r w:rsidRPr="00422A19">
        <w:rPr>
          <w:rFonts w:ascii="Times New Roman" w:hAnsi="Times New Roman" w:cs="Times New Roman"/>
        </w:rPr>
        <w:t xml:space="preserve"> as a requirement to </w:t>
      </w:r>
      <w:r>
        <w:rPr>
          <w:rFonts w:ascii="Times New Roman" w:hAnsi="Times New Roman" w:cs="Times New Roman"/>
        </w:rPr>
        <w:t xml:space="preserve">complete his dissertation and </w:t>
      </w:r>
      <w:r w:rsidRPr="00422A19">
        <w:rPr>
          <w:rFonts w:ascii="Times New Roman" w:hAnsi="Times New Roman" w:cs="Times New Roman"/>
        </w:rPr>
        <w:t>obtain his doctoral degree.</w:t>
      </w:r>
    </w:p>
    <w:p w14:paraId="5821BF31" w14:textId="77777777" w:rsidR="00E0615F" w:rsidRPr="003F05F7" w:rsidRDefault="00E0615F" w:rsidP="00BA4A2D">
      <w:pPr>
        <w:pStyle w:val="Default"/>
        <w:widowControl w:val="0"/>
        <w:rPr>
          <w:rFonts w:ascii="Times New Roman" w:hAnsi="Times New Roman" w:cs="Times New Roman"/>
          <w:sz w:val="22"/>
          <w:szCs w:val="22"/>
        </w:rPr>
      </w:pPr>
    </w:p>
    <w:p w14:paraId="21B0AFEA" w14:textId="2775D7BB" w:rsidR="00E0615F" w:rsidRPr="00422A19" w:rsidRDefault="00E0615F" w:rsidP="00BA4A2D">
      <w:pPr>
        <w:pStyle w:val="Default"/>
        <w:widowControl w:val="0"/>
        <w:rPr>
          <w:rFonts w:ascii="Times New Roman" w:hAnsi="Times New Roman" w:cs="Times New Roman"/>
          <w:bCs/>
          <w:sz w:val="22"/>
          <w:szCs w:val="22"/>
        </w:rPr>
      </w:pPr>
      <w:r w:rsidRPr="003F05F7">
        <w:rPr>
          <w:rFonts w:ascii="Times New Roman" w:hAnsi="Times New Roman" w:cs="Times New Roman"/>
          <w:b/>
          <w:bCs/>
          <w:sz w:val="22"/>
          <w:szCs w:val="22"/>
        </w:rPr>
        <w:t xml:space="preserve">Procedures and Expected Duration of Participation: </w:t>
      </w:r>
      <w:r w:rsidRPr="003F05F7">
        <w:rPr>
          <w:rFonts w:ascii="Times New Roman" w:hAnsi="Times New Roman" w:cs="Times New Roman"/>
          <w:bCs/>
          <w:sz w:val="22"/>
          <w:szCs w:val="22"/>
        </w:rPr>
        <w:t>This study will last one year to analyze the data but your individual participation is approximately 30 minutes. Agreeing to participate will require you to participate in two surveys. The first is a Student Demographics Survey. This instrument will gather basic information such as age, gender, and past mathematics course enrollment information. The second instrument is the Sources of Self-Efficacy Science Courses – Physics. Agreeing to participate allows the researcher to access your scores on the Force Concept Inventory, semester one grade, and science course enrolled in for the 2022-2023 school year.</w:t>
      </w:r>
      <w:r w:rsidRPr="00EF19ED">
        <w:rPr>
          <w:rFonts w:ascii="Times New Roman" w:hAnsi="Times New Roman" w:cs="Times New Roman"/>
          <w:bCs/>
          <w:sz w:val="22"/>
          <w:szCs w:val="22"/>
        </w:rPr>
        <w:t xml:space="preserve"> </w:t>
      </w:r>
      <w:r>
        <w:rPr>
          <w:rFonts w:ascii="Times New Roman" w:hAnsi="Times New Roman" w:cs="Times New Roman"/>
          <w:bCs/>
          <w:sz w:val="22"/>
          <w:szCs w:val="22"/>
        </w:rPr>
        <w:t>Data associated with this research study will be kept for three years before being destroyed.</w:t>
      </w:r>
    </w:p>
    <w:p w14:paraId="12597A2E" w14:textId="77777777" w:rsidR="00E0615F" w:rsidRPr="003F05F7" w:rsidRDefault="00E0615F" w:rsidP="00BA4A2D">
      <w:pPr>
        <w:pStyle w:val="Default"/>
        <w:widowControl w:val="0"/>
        <w:rPr>
          <w:rFonts w:ascii="Times New Roman" w:hAnsi="Times New Roman" w:cs="Times New Roman"/>
          <w:sz w:val="22"/>
          <w:szCs w:val="22"/>
        </w:rPr>
      </w:pPr>
    </w:p>
    <w:p w14:paraId="0DB0E5D8" w14:textId="77777777" w:rsidR="00E0615F" w:rsidRPr="003F05F7" w:rsidRDefault="00E0615F" w:rsidP="00BA4A2D">
      <w:pPr>
        <w:widowControl w:val="0"/>
        <w:spacing w:after="0" w:line="240" w:lineRule="auto"/>
        <w:rPr>
          <w:rFonts w:ascii="Times New Roman" w:hAnsi="Times New Roman" w:cs="Times New Roman"/>
        </w:rPr>
      </w:pPr>
      <w:r w:rsidRPr="003F05F7">
        <w:rPr>
          <w:rFonts w:ascii="Times New Roman" w:hAnsi="Times New Roman" w:cs="Times New Roman"/>
          <w:b/>
          <w:bCs/>
        </w:rPr>
        <w:t xml:space="preserve">Benefits: </w:t>
      </w:r>
      <w:r w:rsidRPr="003F05F7">
        <w:rPr>
          <w:rFonts w:ascii="Times New Roman" w:hAnsi="Times New Roman" w:cs="Times New Roman"/>
        </w:rPr>
        <w:t xml:space="preserve">This study has the possibility to provide greater understanding on how classroom experiences impact course enrollment decisions by all students. Results could provide guidance to educators on which sources of self-efficacy have the most impact on student science course decision making. </w:t>
      </w:r>
    </w:p>
    <w:p w14:paraId="566E4C9C" w14:textId="77777777" w:rsidR="00E0615F" w:rsidRPr="003F05F7" w:rsidRDefault="00E0615F" w:rsidP="00BA4A2D">
      <w:pPr>
        <w:pStyle w:val="Default"/>
        <w:widowControl w:val="0"/>
        <w:rPr>
          <w:rFonts w:ascii="Times New Roman" w:hAnsi="Times New Roman" w:cs="Times New Roman"/>
          <w:sz w:val="22"/>
          <w:szCs w:val="22"/>
        </w:rPr>
      </w:pPr>
    </w:p>
    <w:p w14:paraId="607DDEE7" w14:textId="77777777" w:rsidR="00E0615F" w:rsidRDefault="00E0615F" w:rsidP="00BA4A2D">
      <w:pPr>
        <w:pStyle w:val="Default"/>
        <w:widowControl w:val="0"/>
        <w:rPr>
          <w:rFonts w:ascii="Times New Roman" w:hAnsi="Times New Roman" w:cs="Times New Roman"/>
          <w:sz w:val="22"/>
          <w:szCs w:val="22"/>
        </w:rPr>
      </w:pPr>
      <w:r w:rsidRPr="003F05F7">
        <w:rPr>
          <w:rFonts w:ascii="Times New Roman" w:hAnsi="Times New Roman" w:cs="Times New Roman"/>
          <w:b/>
          <w:bCs/>
          <w:sz w:val="22"/>
          <w:szCs w:val="22"/>
        </w:rPr>
        <w:t xml:space="preserve">Risks and Discomforts to the Participants: </w:t>
      </w:r>
      <w:r w:rsidRPr="003F05F7">
        <w:rPr>
          <w:rFonts w:ascii="Times New Roman" w:hAnsi="Times New Roman" w:cs="Times New Roman"/>
          <w:sz w:val="22"/>
          <w:szCs w:val="22"/>
        </w:rPr>
        <w:t xml:space="preserve">This study involves very minimal risk to participants. The sources of self-efficacy instrument has some questions that will cause participants to reflect on their experiences in the physics classroom over the last year. </w:t>
      </w:r>
      <w:r>
        <w:rPr>
          <w:rFonts w:ascii="Times New Roman" w:hAnsi="Times New Roman" w:cs="Times New Roman"/>
          <w:sz w:val="22"/>
          <w:szCs w:val="22"/>
        </w:rPr>
        <w:t>Should you experience any negative emotions as a result of participation in this study, the school social workers can be contacted at:</w:t>
      </w:r>
    </w:p>
    <w:p w14:paraId="57DD22C7" w14:textId="77777777" w:rsidR="00E0615F" w:rsidRPr="00422A19" w:rsidRDefault="00E0615F" w:rsidP="00BA4A2D">
      <w:pPr>
        <w:pStyle w:val="Default"/>
        <w:widowControl w:val="0"/>
        <w:tabs>
          <w:tab w:val="left" w:pos="5970"/>
        </w:tabs>
        <w:rPr>
          <w:rFonts w:ascii="Times New Roman" w:hAnsi="Times New Roman" w:cs="Times New Roman"/>
          <w:sz w:val="22"/>
          <w:szCs w:val="22"/>
        </w:rPr>
      </w:pPr>
      <w:r>
        <w:rPr>
          <w:rFonts w:ascii="Times New Roman" w:hAnsi="Times New Roman" w:cs="Times New Roman"/>
          <w:sz w:val="22"/>
          <w:szCs w:val="22"/>
        </w:rPr>
        <w:t>Mary Palacious 708-579-6345 and Joan Cushing 708-579-6515.</w:t>
      </w:r>
    </w:p>
    <w:p w14:paraId="598C047B" w14:textId="77777777" w:rsidR="00E0615F" w:rsidRPr="003F05F7" w:rsidRDefault="00E0615F" w:rsidP="00BA4A2D">
      <w:pPr>
        <w:pStyle w:val="Default"/>
        <w:widowControl w:val="0"/>
        <w:rPr>
          <w:rFonts w:ascii="Times New Roman" w:hAnsi="Times New Roman" w:cs="Times New Roman"/>
          <w:sz w:val="22"/>
          <w:szCs w:val="22"/>
        </w:rPr>
      </w:pPr>
    </w:p>
    <w:p w14:paraId="6B94DADE" w14:textId="77777777" w:rsidR="00E0615F" w:rsidRPr="003F05F7" w:rsidRDefault="00E0615F" w:rsidP="00BA4A2D">
      <w:pPr>
        <w:pStyle w:val="Default"/>
        <w:widowControl w:val="0"/>
        <w:rPr>
          <w:rFonts w:ascii="Times New Roman" w:hAnsi="Times New Roman" w:cs="Times New Roman"/>
          <w:sz w:val="22"/>
          <w:szCs w:val="22"/>
        </w:rPr>
      </w:pPr>
    </w:p>
    <w:p w14:paraId="489D5DF9" w14:textId="7AF97594" w:rsidR="00E0615F" w:rsidRPr="003F05F7" w:rsidRDefault="00E0615F" w:rsidP="00BA4A2D">
      <w:pPr>
        <w:pStyle w:val="Default"/>
        <w:widowControl w:val="0"/>
        <w:rPr>
          <w:rFonts w:ascii="Times New Roman" w:hAnsi="Times New Roman" w:cs="Times New Roman"/>
          <w:bCs/>
          <w:sz w:val="22"/>
          <w:szCs w:val="22"/>
        </w:rPr>
      </w:pPr>
      <w:r w:rsidRPr="003F05F7">
        <w:rPr>
          <w:rFonts w:ascii="Times New Roman" w:hAnsi="Times New Roman" w:cs="Times New Roman"/>
          <w:b/>
          <w:bCs/>
          <w:sz w:val="22"/>
          <w:szCs w:val="22"/>
        </w:rPr>
        <w:t xml:space="preserve">Privacy and Confidentiality: </w:t>
      </w:r>
      <w:r w:rsidRPr="003F05F7">
        <w:rPr>
          <w:rFonts w:ascii="Times New Roman" w:hAnsi="Times New Roman" w:cs="Times New Roman"/>
          <w:bCs/>
          <w:sz w:val="22"/>
          <w:szCs w:val="22"/>
        </w:rPr>
        <w:t xml:space="preserve">Only the researcher will have access to your data. Names or personal information about participants will not be shared. Your student ID number will be the only connecting identifier on the gathered data. </w:t>
      </w:r>
    </w:p>
    <w:p w14:paraId="582B05E1" w14:textId="77777777" w:rsidR="00E0615F" w:rsidRPr="003F05F7" w:rsidRDefault="00E0615F" w:rsidP="00BA4A2D">
      <w:pPr>
        <w:pStyle w:val="Default"/>
        <w:widowControl w:val="0"/>
        <w:rPr>
          <w:rFonts w:ascii="Times New Roman" w:hAnsi="Times New Roman" w:cs="Times New Roman"/>
          <w:sz w:val="22"/>
          <w:szCs w:val="22"/>
        </w:rPr>
      </w:pPr>
    </w:p>
    <w:p w14:paraId="058D5C36" w14:textId="27ECF0FA" w:rsidR="00E0615F" w:rsidRPr="003F05F7" w:rsidRDefault="00E0615F" w:rsidP="00BA4A2D">
      <w:pPr>
        <w:pStyle w:val="Default"/>
        <w:widowControl w:val="0"/>
        <w:rPr>
          <w:rFonts w:ascii="Times New Roman" w:hAnsi="Times New Roman" w:cs="Times New Roman"/>
          <w:bCs/>
          <w:sz w:val="22"/>
          <w:szCs w:val="22"/>
        </w:rPr>
      </w:pPr>
      <w:r w:rsidRPr="003F05F7">
        <w:rPr>
          <w:rFonts w:ascii="Times New Roman" w:hAnsi="Times New Roman" w:cs="Times New Roman"/>
          <w:b/>
          <w:bCs/>
          <w:sz w:val="22"/>
          <w:szCs w:val="22"/>
        </w:rPr>
        <w:t xml:space="preserve">Voluntary Participation: </w:t>
      </w:r>
      <w:r w:rsidRPr="003F05F7">
        <w:rPr>
          <w:rFonts w:ascii="Times New Roman" w:hAnsi="Times New Roman" w:cs="Times New Roman"/>
          <w:bCs/>
          <w:sz w:val="22"/>
          <w:szCs w:val="22"/>
        </w:rPr>
        <w:t>Your participation is voluntary. There are no negative consequences, loss of benefits, or penalties for choosing not to participate. You may change your mind later and decide to withdraw from the study</w:t>
      </w:r>
      <w:r>
        <w:rPr>
          <w:rFonts w:ascii="Times New Roman" w:hAnsi="Times New Roman" w:cs="Times New Roman"/>
          <w:bCs/>
          <w:sz w:val="22"/>
          <w:szCs w:val="22"/>
        </w:rPr>
        <w:t xml:space="preserve"> at any time</w:t>
      </w:r>
      <w:r w:rsidRPr="003F05F7">
        <w:rPr>
          <w:rFonts w:ascii="Times New Roman" w:hAnsi="Times New Roman" w:cs="Times New Roman"/>
          <w:bCs/>
          <w:sz w:val="22"/>
          <w:szCs w:val="22"/>
        </w:rPr>
        <w:t xml:space="preserve">. </w:t>
      </w:r>
    </w:p>
    <w:p w14:paraId="1B17446F" w14:textId="77777777" w:rsidR="00E0615F" w:rsidRPr="003F05F7" w:rsidRDefault="00E0615F" w:rsidP="00BA4A2D">
      <w:pPr>
        <w:pStyle w:val="Default"/>
        <w:widowControl w:val="0"/>
        <w:rPr>
          <w:rFonts w:ascii="Times New Roman" w:hAnsi="Times New Roman" w:cs="Times New Roman"/>
          <w:sz w:val="22"/>
          <w:szCs w:val="22"/>
        </w:rPr>
      </w:pPr>
    </w:p>
    <w:p w14:paraId="66A90E5E" w14:textId="77777777" w:rsidR="00E0615F" w:rsidRPr="003F05F7" w:rsidRDefault="00E0615F" w:rsidP="00BA4A2D">
      <w:pPr>
        <w:pStyle w:val="Default"/>
        <w:widowControl w:val="0"/>
        <w:rPr>
          <w:rFonts w:ascii="Times New Roman" w:hAnsi="Times New Roman" w:cs="Times New Roman"/>
          <w:bCs/>
          <w:sz w:val="22"/>
          <w:szCs w:val="22"/>
        </w:rPr>
      </w:pPr>
      <w:r w:rsidRPr="003F05F7">
        <w:rPr>
          <w:rFonts w:ascii="Times New Roman" w:hAnsi="Times New Roman" w:cs="Times New Roman"/>
          <w:b/>
          <w:bCs/>
          <w:sz w:val="22"/>
          <w:szCs w:val="22"/>
        </w:rPr>
        <w:t xml:space="preserve">Contact Information: </w:t>
      </w:r>
      <w:r w:rsidRPr="003F05F7">
        <w:rPr>
          <w:rFonts w:ascii="Times New Roman" w:hAnsi="Times New Roman" w:cs="Times New Roman"/>
          <w:bCs/>
          <w:sz w:val="22"/>
          <w:szCs w:val="22"/>
        </w:rPr>
        <w:t xml:space="preserve">If you have any additional or future questions about this study, you may contact the researcher, Mr. Robert Sherman at </w:t>
      </w:r>
      <w:r w:rsidRPr="003F05F7">
        <w:rPr>
          <w:rFonts w:ascii="Times New Roman" w:hAnsi="Times New Roman" w:cs="Times New Roman"/>
          <w:color w:val="222222"/>
          <w:sz w:val="22"/>
          <w:szCs w:val="22"/>
          <w:shd w:val="clear" w:color="auto" w:fill="FFFFFF"/>
        </w:rPr>
        <w:t>crf_shermar@cuchicago.edu.</w:t>
      </w:r>
    </w:p>
    <w:p w14:paraId="7E992741" w14:textId="77777777" w:rsidR="00E0615F" w:rsidRPr="003F05F7" w:rsidRDefault="00E0615F" w:rsidP="00BA4A2D">
      <w:pPr>
        <w:pStyle w:val="Default"/>
        <w:widowControl w:val="0"/>
        <w:rPr>
          <w:rFonts w:ascii="Times New Roman" w:hAnsi="Times New Roman" w:cs="Times New Roman"/>
          <w:sz w:val="22"/>
          <w:szCs w:val="22"/>
        </w:rPr>
      </w:pPr>
    </w:p>
    <w:p w14:paraId="5483D329" w14:textId="77777777" w:rsidR="00E0615F" w:rsidRPr="003F05F7" w:rsidRDefault="00E0615F" w:rsidP="00BA4A2D">
      <w:pPr>
        <w:pStyle w:val="Default"/>
        <w:widowControl w:val="0"/>
        <w:rPr>
          <w:rFonts w:ascii="Times New Roman" w:hAnsi="Times New Roman" w:cs="Times New Roman"/>
          <w:sz w:val="22"/>
          <w:szCs w:val="22"/>
        </w:rPr>
      </w:pPr>
      <w:r w:rsidRPr="003F05F7">
        <w:rPr>
          <w:rFonts w:ascii="Times New Roman" w:hAnsi="Times New Roman" w:cs="Times New Roman"/>
          <w:sz w:val="22"/>
          <w:szCs w:val="22"/>
        </w:rPr>
        <w:t xml:space="preserve">Please contact the Institutional Review Board of Concordia University Chicago at IRB@CUChicago.edu with questions about participant rights. </w:t>
      </w:r>
    </w:p>
    <w:p w14:paraId="6048B11F" w14:textId="77777777" w:rsidR="00E0615F" w:rsidRPr="003F05F7" w:rsidRDefault="00E0615F" w:rsidP="00BA4A2D">
      <w:pPr>
        <w:pStyle w:val="Default"/>
        <w:widowControl w:val="0"/>
        <w:rPr>
          <w:rFonts w:ascii="Times New Roman" w:hAnsi="Times New Roman" w:cs="Times New Roman"/>
          <w:sz w:val="22"/>
          <w:szCs w:val="22"/>
        </w:rPr>
      </w:pPr>
    </w:p>
    <w:p w14:paraId="5FBFDB4F" w14:textId="77777777" w:rsidR="00E0615F" w:rsidRPr="003F05F7" w:rsidRDefault="00E0615F" w:rsidP="00BA4A2D">
      <w:pPr>
        <w:pStyle w:val="Default"/>
        <w:widowControl w:val="0"/>
        <w:rPr>
          <w:rFonts w:ascii="Times New Roman" w:hAnsi="Times New Roman" w:cs="Times New Roman"/>
          <w:sz w:val="22"/>
          <w:szCs w:val="22"/>
        </w:rPr>
      </w:pPr>
      <w:r w:rsidRPr="003F05F7">
        <w:rPr>
          <w:rFonts w:ascii="Times New Roman" w:hAnsi="Times New Roman" w:cs="Times New Roman"/>
          <w:b/>
          <w:bCs/>
          <w:sz w:val="22"/>
          <w:szCs w:val="22"/>
        </w:rPr>
        <w:lastRenderedPageBreak/>
        <w:t>Assent Statement and Signature:</w:t>
      </w:r>
    </w:p>
    <w:p w14:paraId="5E4D58DD" w14:textId="6F42CC02" w:rsidR="00E0615F" w:rsidRDefault="00E0615F" w:rsidP="00AF506D">
      <w:pPr>
        <w:widowControl w:val="0"/>
        <w:spacing w:after="0" w:line="240" w:lineRule="auto"/>
        <w:rPr>
          <w:rFonts w:ascii="Times New Roman" w:hAnsi="Times New Roman" w:cs="Times New Roman"/>
        </w:rPr>
      </w:pPr>
      <w:r w:rsidRPr="003F05F7">
        <w:rPr>
          <w:rFonts w:ascii="Times New Roman" w:hAnsi="Times New Roman" w:cs="Times New Roman"/>
        </w:rPr>
        <w:t>I affirm that I have read this assent form and have had the opportunity to have my questions answered to my satisfaction. I voluntarily agree to participate in this study. I understand that a copy of this assent will be provided to me upon request.</w:t>
      </w:r>
    </w:p>
    <w:p w14:paraId="70994CC1" w14:textId="77777777" w:rsidR="00AF506D" w:rsidRPr="003F05F7" w:rsidRDefault="00AF506D" w:rsidP="00BA4A2D">
      <w:pPr>
        <w:widowControl w:val="0"/>
        <w:spacing w:after="0" w:line="240" w:lineRule="auto"/>
        <w:rPr>
          <w:rFonts w:ascii="Times New Roman" w:hAnsi="Times New Roman" w:cs="Times New Roman"/>
        </w:rPr>
      </w:pPr>
    </w:p>
    <w:p w14:paraId="5856F717" w14:textId="77777777" w:rsidR="00E0615F" w:rsidRDefault="00E0615F" w:rsidP="00BA4A2D">
      <w:pPr>
        <w:pStyle w:val="Default"/>
        <w:widowControl w:val="0"/>
        <w:rPr>
          <w:rFonts w:ascii="Times New Roman" w:hAnsi="Times New Roman" w:cs="Times New Roman"/>
          <w:b/>
          <w:bCs/>
          <w:sz w:val="22"/>
          <w:szCs w:val="22"/>
        </w:rPr>
      </w:pPr>
      <w:r w:rsidRPr="003F05F7">
        <w:rPr>
          <w:rFonts w:ascii="Times New Roman" w:hAnsi="Times New Roman" w:cs="Times New Roman"/>
          <w:b/>
          <w:bCs/>
          <w:sz w:val="22"/>
          <w:szCs w:val="22"/>
        </w:rPr>
        <w:t xml:space="preserve">Signature of grantor: </w:t>
      </w:r>
      <w:r w:rsidRPr="003F05F7">
        <w:rPr>
          <w:rFonts w:ascii="Times New Roman" w:hAnsi="Times New Roman" w:cs="Times New Roman"/>
          <w:b/>
          <w:bCs/>
          <w:sz w:val="22"/>
          <w:szCs w:val="22"/>
        </w:rPr>
        <w:tab/>
      </w:r>
      <w:r w:rsidRPr="003F05F7">
        <w:rPr>
          <w:rFonts w:ascii="Times New Roman" w:hAnsi="Times New Roman" w:cs="Times New Roman"/>
          <w:b/>
          <w:bCs/>
          <w:sz w:val="22"/>
          <w:szCs w:val="22"/>
        </w:rPr>
        <w:tab/>
      </w:r>
      <w:r w:rsidRPr="003F05F7">
        <w:rPr>
          <w:rFonts w:ascii="Times New Roman" w:hAnsi="Times New Roman" w:cs="Times New Roman"/>
          <w:b/>
          <w:bCs/>
          <w:sz w:val="22"/>
          <w:szCs w:val="22"/>
        </w:rPr>
        <w:tab/>
      </w:r>
      <w:r w:rsidRPr="003F05F7">
        <w:rPr>
          <w:rFonts w:ascii="Times New Roman" w:hAnsi="Times New Roman" w:cs="Times New Roman"/>
          <w:b/>
          <w:bCs/>
          <w:sz w:val="22"/>
          <w:szCs w:val="22"/>
        </w:rPr>
        <w:tab/>
      </w:r>
      <w:r w:rsidRPr="003F05F7">
        <w:rPr>
          <w:rFonts w:ascii="Times New Roman" w:hAnsi="Times New Roman" w:cs="Times New Roman"/>
          <w:b/>
          <w:bCs/>
          <w:sz w:val="22"/>
          <w:szCs w:val="22"/>
        </w:rPr>
        <w:tab/>
        <w:t xml:space="preserve">Printed name: </w:t>
      </w:r>
    </w:p>
    <w:p w14:paraId="1B522146" w14:textId="77777777" w:rsidR="00E0615F" w:rsidRDefault="00E0615F" w:rsidP="00BA4A2D">
      <w:pPr>
        <w:pStyle w:val="Default"/>
        <w:widowControl w:val="0"/>
        <w:rPr>
          <w:rFonts w:ascii="Times New Roman" w:hAnsi="Times New Roman" w:cs="Times New Roman"/>
          <w:b/>
          <w:bCs/>
          <w:sz w:val="22"/>
          <w:szCs w:val="22"/>
        </w:rPr>
      </w:pPr>
    </w:p>
    <w:p w14:paraId="38D32DD5" w14:textId="77777777" w:rsidR="00E0615F" w:rsidRDefault="00E0615F" w:rsidP="00BA4A2D">
      <w:pPr>
        <w:pStyle w:val="Default"/>
        <w:widowControl w:val="0"/>
        <w:rPr>
          <w:rFonts w:ascii="Times New Roman" w:hAnsi="Times New Roman" w:cs="Times New Roman"/>
          <w:b/>
          <w:bCs/>
          <w:sz w:val="22"/>
          <w:szCs w:val="22"/>
        </w:rPr>
      </w:pPr>
    </w:p>
    <w:p w14:paraId="18920F16" w14:textId="77777777" w:rsidR="00E0615F" w:rsidRPr="003F05F7" w:rsidRDefault="00E0615F" w:rsidP="00BA4A2D">
      <w:pPr>
        <w:pStyle w:val="Default"/>
        <w:widowControl w:val="0"/>
        <w:rPr>
          <w:rFonts w:ascii="Times New Roman" w:hAnsi="Times New Roman" w:cs="Times New Roman"/>
          <w:sz w:val="22"/>
          <w:szCs w:val="22"/>
        </w:rPr>
      </w:pPr>
    </w:p>
    <w:p w14:paraId="36597624" w14:textId="77777777" w:rsidR="00E0615F" w:rsidRPr="003F05F7" w:rsidRDefault="00E0615F" w:rsidP="00BA4A2D">
      <w:pPr>
        <w:widowControl w:val="0"/>
        <w:spacing w:after="0" w:line="240" w:lineRule="auto"/>
        <w:rPr>
          <w:rFonts w:ascii="Times New Roman" w:hAnsi="Times New Roman" w:cs="Times New Roman"/>
        </w:rPr>
      </w:pPr>
      <w:r w:rsidRPr="003F05F7">
        <w:rPr>
          <w:rFonts w:ascii="Times New Roman" w:hAnsi="Times New Roman" w:cs="Times New Roman"/>
          <w:b/>
          <w:bCs/>
        </w:rPr>
        <w:t>Date</w:t>
      </w:r>
      <w:r>
        <w:rPr>
          <w:rFonts w:ascii="Times New Roman" w:hAnsi="Times New Roman" w:cs="Times New Roman"/>
          <w:b/>
          <w:bCs/>
        </w:rPr>
        <w:t>:</w:t>
      </w:r>
    </w:p>
    <w:p w14:paraId="7FD95AE6" w14:textId="77777777" w:rsidR="00FB41AA" w:rsidRPr="008253D6" w:rsidRDefault="00FB41AA" w:rsidP="00BA4A2D">
      <w:pPr>
        <w:pStyle w:val="NoSpacing"/>
        <w:widowControl w:val="0"/>
        <w:rPr>
          <w:rFonts w:ascii="Times New Roman" w:hAnsi="Times New Roman" w:cs="Times New Roman"/>
          <w:sz w:val="24"/>
          <w:szCs w:val="24"/>
        </w:rPr>
      </w:pPr>
    </w:p>
    <w:p w14:paraId="7E09BFB6" w14:textId="77777777" w:rsidR="00E0615F" w:rsidRPr="00422A19" w:rsidRDefault="00E0615F" w:rsidP="00BA4A2D">
      <w:pPr>
        <w:widowControl w:val="0"/>
        <w:spacing w:after="0" w:line="240" w:lineRule="auto"/>
        <w:rPr>
          <w:rFonts w:ascii="Times New Roman" w:hAnsi="Times New Roman" w:cs="Times New Roman"/>
        </w:rPr>
      </w:pPr>
      <w:r w:rsidRPr="00422A19">
        <w:rPr>
          <w:rFonts w:ascii="Times New Roman" w:hAnsi="Times New Roman" w:cs="Times New Roman"/>
          <w:b/>
          <w:bCs/>
        </w:rPr>
        <w:t xml:space="preserve">CUC IRB Study # </w:t>
      </w:r>
    </w:p>
    <w:p w14:paraId="570C97A3" w14:textId="77777777" w:rsidR="00E0615F" w:rsidRPr="00422A19" w:rsidRDefault="00E0615F" w:rsidP="00BA4A2D">
      <w:pPr>
        <w:pStyle w:val="Default"/>
        <w:widowControl w:val="0"/>
        <w:rPr>
          <w:rFonts w:ascii="Times New Roman" w:hAnsi="Times New Roman" w:cs="Times New Roman"/>
          <w:b/>
          <w:bCs/>
          <w:sz w:val="22"/>
          <w:szCs w:val="22"/>
        </w:rPr>
      </w:pPr>
      <w:r w:rsidRPr="00422A19">
        <w:rPr>
          <w:rFonts w:ascii="Times New Roman" w:hAnsi="Times New Roman" w:cs="Times New Roman"/>
          <w:b/>
          <w:bCs/>
          <w:sz w:val="22"/>
          <w:szCs w:val="22"/>
        </w:rPr>
        <w:t xml:space="preserve">CUC IRB Approval Date: _____________ </w:t>
      </w:r>
    </w:p>
    <w:p w14:paraId="19221F0F" w14:textId="77777777" w:rsidR="00E0615F" w:rsidRPr="00422A19" w:rsidRDefault="00E0615F" w:rsidP="00BA4A2D">
      <w:pPr>
        <w:pStyle w:val="Default"/>
        <w:widowControl w:val="0"/>
        <w:rPr>
          <w:rFonts w:ascii="Times New Roman" w:hAnsi="Times New Roman" w:cs="Times New Roman"/>
          <w:b/>
          <w:bCs/>
          <w:sz w:val="22"/>
          <w:szCs w:val="22"/>
        </w:rPr>
      </w:pPr>
    </w:p>
    <w:p w14:paraId="4D0E49EE" w14:textId="77777777" w:rsidR="00E0615F" w:rsidRPr="00422A19" w:rsidRDefault="00E0615F" w:rsidP="00BA4A2D">
      <w:pPr>
        <w:pStyle w:val="Default"/>
        <w:widowControl w:val="0"/>
        <w:rPr>
          <w:rFonts w:ascii="Times New Roman" w:hAnsi="Times New Roman" w:cs="Times New Roman"/>
          <w:sz w:val="22"/>
          <w:szCs w:val="22"/>
        </w:rPr>
      </w:pPr>
    </w:p>
    <w:p w14:paraId="3837143E" w14:textId="77777777" w:rsidR="00E0615F" w:rsidRPr="00422A19" w:rsidRDefault="00E0615F" w:rsidP="00BA4A2D">
      <w:pPr>
        <w:pStyle w:val="Default"/>
        <w:widowControl w:val="0"/>
        <w:jc w:val="center"/>
        <w:rPr>
          <w:rFonts w:ascii="Times New Roman" w:hAnsi="Times New Roman" w:cs="Times New Roman"/>
          <w:b/>
          <w:bCs/>
          <w:sz w:val="22"/>
          <w:szCs w:val="22"/>
        </w:rPr>
      </w:pPr>
      <w:r w:rsidRPr="00422A19">
        <w:rPr>
          <w:rFonts w:ascii="Times New Roman" w:hAnsi="Times New Roman" w:cs="Times New Roman"/>
          <w:b/>
          <w:bCs/>
          <w:sz w:val="22"/>
          <w:szCs w:val="22"/>
        </w:rPr>
        <w:t>Informed Consent to Participate in a Research Study</w:t>
      </w:r>
    </w:p>
    <w:p w14:paraId="34104DC4" w14:textId="77777777" w:rsidR="00E0615F" w:rsidRPr="00422A19" w:rsidRDefault="00E0615F" w:rsidP="00BA4A2D">
      <w:pPr>
        <w:pStyle w:val="Default"/>
        <w:widowControl w:val="0"/>
        <w:jc w:val="center"/>
        <w:rPr>
          <w:rFonts w:ascii="Times New Roman" w:hAnsi="Times New Roman" w:cs="Times New Roman"/>
          <w:b/>
          <w:bCs/>
          <w:sz w:val="22"/>
          <w:szCs w:val="22"/>
        </w:rPr>
      </w:pPr>
    </w:p>
    <w:p w14:paraId="7084175D" w14:textId="77777777" w:rsidR="00E0615F" w:rsidRPr="00422A19" w:rsidRDefault="00E0615F" w:rsidP="00BA4A2D">
      <w:pPr>
        <w:pStyle w:val="Default"/>
        <w:widowControl w:val="0"/>
        <w:jc w:val="center"/>
        <w:rPr>
          <w:rFonts w:ascii="Times New Roman" w:hAnsi="Times New Roman" w:cs="Times New Roman"/>
          <w:sz w:val="22"/>
          <w:szCs w:val="22"/>
        </w:rPr>
      </w:pPr>
    </w:p>
    <w:p w14:paraId="16814FB6" w14:textId="77777777" w:rsidR="00E0615F" w:rsidRPr="00422A19" w:rsidRDefault="00E0615F" w:rsidP="00BA4A2D">
      <w:pPr>
        <w:pStyle w:val="Default"/>
        <w:widowControl w:val="0"/>
        <w:rPr>
          <w:rFonts w:ascii="Times New Roman" w:hAnsi="Times New Roman" w:cs="Times New Roman"/>
          <w:color w:val="222222"/>
          <w:sz w:val="22"/>
          <w:szCs w:val="22"/>
          <w:shd w:val="clear" w:color="auto" w:fill="FFFFFF"/>
        </w:rPr>
      </w:pPr>
      <w:r w:rsidRPr="00422A19">
        <w:rPr>
          <w:rFonts w:ascii="Times New Roman" w:hAnsi="Times New Roman" w:cs="Times New Roman"/>
          <w:b/>
          <w:bCs/>
          <w:sz w:val="22"/>
          <w:szCs w:val="22"/>
        </w:rPr>
        <w:t xml:space="preserve">Study Title: </w:t>
      </w:r>
      <w:r w:rsidRPr="00422A19">
        <w:rPr>
          <w:rFonts w:ascii="Times New Roman" w:hAnsi="Times New Roman" w:cs="Times New Roman"/>
          <w:color w:val="222222"/>
          <w:sz w:val="22"/>
          <w:szCs w:val="22"/>
          <w:shd w:val="clear" w:color="auto" w:fill="FFFFFF"/>
        </w:rPr>
        <w:t>Self-Efficacy in Advanced Physics Enrollment Decisions of High School Women</w:t>
      </w:r>
    </w:p>
    <w:p w14:paraId="79DBB595" w14:textId="77777777" w:rsidR="00E0615F" w:rsidRPr="00422A19" w:rsidRDefault="00E0615F" w:rsidP="00BA4A2D">
      <w:pPr>
        <w:pStyle w:val="Default"/>
        <w:widowControl w:val="0"/>
        <w:rPr>
          <w:rFonts w:ascii="Times New Roman" w:hAnsi="Times New Roman" w:cs="Times New Roman"/>
          <w:sz w:val="22"/>
          <w:szCs w:val="22"/>
        </w:rPr>
      </w:pPr>
    </w:p>
    <w:p w14:paraId="7CD2055E" w14:textId="77777777" w:rsidR="00E0615F" w:rsidRDefault="00E0615F" w:rsidP="00BA4A2D">
      <w:pPr>
        <w:pStyle w:val="Default"/>
        <w:widowControl w:val="0"/>
        <w:rPr>
          <w:rFonts w:ascii="Times New Roman" w:hAnsi="Times New Roman" w:cs="Times New Roman"/>
          <w:bCs/>
          <w:sz w:val="22"/>
          <w:szCs w:val="22"/>
        </w:rPr>
      </w:pPr>
      <w:r w:rsidRPr="00422A19">
        <w:rPr>
          <w:rFonts w:ascii="Times New Roman" w:hAnsi="Times New Roman" w:cs="Times New Roman"/>
          <w:b/>
          <w:bCs/>
          <w:sz w:val="22"/>
          <w:szCs w:val="22"/>
        </w:rPr>
        <w:t xml:space="preserve">Principal Investigator: </w:t>
      </w:r>
      <w:r w:rsidRPr="00422A19">
        <w:rPr>
          <w:rFonts w:ascii="Times New Roman" w:hAnsi="Times New Roman" w:cs="Times New Roman"/>
          <w:bCs/>
          <w:sz w:val="22"/>
          <w:szCs w:val="22"/>
        </w:rPr>
        <w:t>Mr. Robert Sherman</w:t>
      </w:r>
      <w:r>
        <w:rPr>
          <w:rFonts w:ascii="Times New Roman" w:hAnsi="Times New Roman" w:cs="Times New Roman"/>
          <w:bCs/>
          <w:sz w:val="22"/>
          <w:szCs w:val="22"/>
        </w:rPr>
        <w:t>, graduate student</w:t>
      </w:r>
    </w:p>
    <w:p w14:paraId="2024EB40" w14:textId="77777777" w:rsidR="00E0615F" w:rsidRPr="00ED2F27" w:rsidRDefault="00E0615F" w:rsidP="00BA4A2D">
      <w:pPr>
        <w:pStyle w:val="Default"/>
        <w:widowControl w:val="0"/>
        <w:rPr>
          <w:rFonts w:ascii="Times New Roman" w:hAnsi="Times New Roman" w:cs="Times New Roman"/>
          <w:bCs/>
          <w:sz w:val="22"/>
          <w:szCs w:val="22"/>
        </w:rPr>
      </w:pPr>
      <w:r w:rsidRPr="00ED2F27">
        <w:rPr>
          <w:rFonts w:ascii="Times New Roman" w:hAnsi="Times New Roman" w:cs="Times New Roman"/>
          <w:b/>
          <w:bCs/>
          <w:sz w:val="22"/>
          <w:szCs w:val="22"/>
        </w:rPr>
        <w:t>Dissertation Committee Chair:</w:t>
      </w:r>
      <w:r w:rsidRPr="00ED2F27">
        <w:rPr>
          <w:rFonts w:ascii="Times New Roman" w:hAnsi="Times New Roman" w:cs="Times New Roman"/>
          <w:bCs/>
          <w:sz w:val="22"/>
          <w:szCs w:val="22"/>
        </w:rPr>
        <w:t xml:space="preserve"> Dr. Steve Song </w:t>
      </w:r>
      <w:r>
        <w:rPr>
          <w:rFonts w:ascii="Times New Roman" w:hAnsi="Times New Roman" w:cs="Times New Roman"/>
          <w:bCs/>
          <w:sz w:val="22"/>
          <w:szCs w:val="22"/>
        </w:rPr>
        <w:t>(</w:t>
      </w:r>
      <w:r w:rsidRPr="00ED2F27">
        <w:rPr>
          <w:rFonts w:ascii="Times New Roman" w:hAnsi="Times New Roman" w:cs="Times New Roman"/>
          <w:color w:val="555555"/>
          <w:sz w:val="22"/>
          <w:szCs w:val="22"/>
          <w:shd w:val="clear" w:color="auto" w:fill="FFFFFF"/>
        </w:rPr>
        <w:t>Steve.Song@cuchicago.edu</w:t>
      </w:r>
      <w:r>
        <w:rPr>
          <w:rFonts w:ascii="Times New Roman" w:hAnsi="Times New Roman" w:cs="Times New Roman"/>
          <w:color w:val="555555"/>
          <w:sz w:val="22"/>
          <w:szCs w:val="22"/>
          <w:shd w:val="clear" w:color="auto" w:fill="FFFFFF"/>
        </w:rPr>
        <w:t>)</w:t>
      </w:r>
    </w:p>
    <w:p w14:paraId="4361B2B8" w14:textId="77777777" w:rsidR="00E0615F" w:rsidRPr="00ED2F27" w:rsidRDefault="00E0615F" w:rsidP="00BA4A2D">
      <w:pPr>
        <w:pStyle w:val="Default"/>
        <w:widowControl w:val="0"/>
        <w:rPr>
          <w:rFonts w:ascii="Times New Roman" w:hAnsi="Times New Roman" w:cs="Times New Roman"/>
          <w:sz w:val="22"/>
          <w:szCs w:val="22"/>
        </w:rPr>
      </w:pPr>
    </w:p>
    <w:p w14:paraId="161206BA" w14:textId="25FFAFDE" w:rsidR="00E0615F" w:rsidRPr="00422A19" w:rsidRDefault="00E0615F" w:rsidP="00BA4A2D">
      <w:pPr>
        <w:widowControl w:val="0"/>
        <w:spacing w:after="0" w:line="240" w:lineRule="auto"/>
        <w:rPr>
          <w:rFonts w:ascii="Times New Roman" w:hAnsi="Times New Roman" w:cs="Times New Roman"/>
        </w:rPr>
      </w:pPr>
      <w:r w:rsidRPr="00422A19">
        <w:rPr>
          <w:rFonts w:ascii="Times New Roman" w:hAnsi="Times New Roman" w:cs="Times New Roman"/>
          <w:b/>
          <w:bCs/>
        </w:rPr>
        <w:t xml:space="preserve">Purpose of the Study: </w:t>
      </w:r>
      <w:r w:rsidRPr="00422A19">
        <w:rPr>
          <w:rFonts w:ascii="Times New Roman" w:hAnsi="Times New Roman" w:cs="Times New Roman"/>
        </w:rPr>
        <w:t xml:space="preserve">The purpose of this </w:t>
      </w:r>
      <w:r>
        <w:rPr>
          <w:rFonts w:ascii="Times New Roman" w:hAnsi="Times New Roman" w:cs="Times New Roman"/>
        </w:rPr>
        <w:t xml:space="preserve">research </w:t>
      </w:r>
      <w:r w:rsidRPr="00422A19">
        <w:rPr>
          <w:rFonts w:ascii="Times New Roman" w:hAnsi="Times New Roman" w:cs="Times New Roman"/>
        </w:rPr>
        <w:t xml:space="preserve">study is to explore the impact sources of self-efficacy have on high school </w:t>
      </w:r>
      <w:r w:rsidR="008159B8">
        <w:rPr>
          <w:rFonts w:ascii="Times New Roman" w:hAnsi="Times New Roman" w:cs="Times New Roman"/>
        </w:rPr>
        <w:t>second-year physics</w:t>
      </w:r>
      <w:r w:rsidRPr="00422A19">
        <w:rPr>
          <w:rFonts w:ascii="Times New Roman" w:hAnsi="Times New Roman" w:cs="Times New Roman"/>
        </w:rPr>
        <w:t xml:space="preserve"> enrollment patterns. Any differences between men and women will also be explored. This study is being conducted by Robert Sherman</w:t>
      </w:r>
      <w:r>
        <w:rPr>
          <w:rFonts w:ascii="Times New Roman" w:hAnsi="Times New Roman" w:cs="Times New Roman"/>
        </w:rPr>
        <w:t>,</w:t>
      </w:r>
      <w:r w:rsidRPr="00422A19">
        <w:rPr>
          <w:rFonts w:ascii="Times New Roman" w:hAnsi="Times New Roman" w:cs="Times New Roman"/>
        </w:rPr>
        <w:t xml:space="preserve"> a graduate student at Concordia University Chicago</w:t>
      </w:r>
      <w:r>
        <w:rPr>
          <w:rFonts w:ascii="Times New Roman" w:hAnsi="Times New Roman" w:cs="Times New Roman"/>
        </w:rPr>
        <w:t>,</w:t>
      </w:r>
      <w:r w:rsidRPr="00422A19">
        <w:rPr>
          <w:rFonts w:ascii="Times New Roman" w:hAnsi="Times New Roman" w:cs="Times New Roman"/>
        </w:rPr>
        <w:t xml:space="preserve"> as a requirement to </w:t>
      </w:r>
      <w:r>
        <w:rPr>
          <w:rFonts w:ascii="Times New Roman" w:hAnsi="Times New Roman" w:cs="Times New Roman"/>
        </w:rPr>
        <w:t xml:space="preserve">complete his dissertation and </w:t>
      </w:r>
      <w:r w:rsidRPr="00422A19">
        <w:rPr>
          <w:rFonts w:ascii="Times New Roman" w:hAnsi="Times New Roman" w:cs="Times New Roman"/>
        </w:rPr>
        <w:t>obtain his doctoral degree.</w:t>
      </w:r>
    </w:p>
    <w:p w14:paraId="4C98C4CB" w14:textId="77777777" w:rsidR="00E0615F" w:rsidRPr="00422A19" w:rsidRDefault="00E0615F" w:rsidP="00BA4A2D">
      <w:pPr>
        <w:pStyle w:val="Default"/>
        <w:widowControl w:val="0"/>
        <w:rPr>
          <w:rFonts w:ascii="Times New Roman" w:hAnsi="Times New Roman" w:cs="Times New Roman"/>
          <w:sz w:val="22"/>
          <w:szCs w:val="22"/>
        </w:rPr>
      </w:pPr>
    </w:p>
    <w:p w14:paraId="1BC27491" w14:textId="60A59353" w:rsidR="00E0615F" w:rsidRPr="00422A19" w:rsidRDefault="00E0615F" w:rsidP="00BA4A2D">
      <w:pPr>
        <w:pStyle w:val="Default"/>
        <w:widowControl w:val="0"/>
        <w:rPr>
          <w:rFonts w:ascii="Times New Roman" w:hAnsi="Times New Roman" w:cs="Times New Roman"/>
          <w:bCs/>
          <w:sz w:val="22"/>
          <w:szCs w:val="22"/>
        </w:rPr>
      </w:pPr>
      <w:r w:rsidRPr="00422A19">
        <w:rPr>
          <w:rFonts w:ascii="Times New Roman" w:hAnsi="Times New Roman" w:cs="Times New Roman"/>
          <w:b/>
          <w:bCs/>
          <w:sz w:val="22"/>
          <w:szCs w:val="22"/>
        </w:rPr>
        <w:t xml:space="preserve">Procedures and Expected Duration of Participation: </w:t>
      </w:r>
      <w:r w:rsidRPr="00422A19">
        <w:rPr>
          <w:rFonts w:ascii="Times New Roman" w:hAnsi="Times New Roman" w:cs="Times New Roman"/>
          <w:bCs/>
          <w:sz w:val="22"/>
          <w:szCs w:val="22"/>
        </w:rPr>
        <w:t>This study will last one year to analyze the data but your child’s participation is approximately 30 minutes. Agreeing to participate will require your child to participate in two surveys. The first is a Student Demographics Survey. This instrument will gather basic information such as age, gender, and past mathematics course enrollment information. The second instrument is the Sources of Self-Efficacy Science Courses – Physics. Agreeing to participate allows the researcher to access your child’s scores on the Force Concept Inventory, semester one grade, and science course enrolled in for the 2022-2023 school year.</w:t>
      </w:r>
      <w:r>
        <w:rPr>
          <w:rFonts w:ascii="Times New Roman" w:hAnsi="Times New Roman" w:cs="Times New Roman"/>
          <w:bCs/>
          <w:sz w:val="22"/>
          <w:szCs w:val="22"/>
        </w:rPr>
        <w:t xml:space="preserve"> Data associated with this research study will be kept for three years before being destroyed.</w:t>
      </w:r>
    </w:p>
    <w:p w14:paraId="0DFEA9D5" w14:textId="77777777" w:rsidR="00E0615F" w:rsidRPr="00422A19" w:rsidRDefault="00E0615F" w:rsidP="00BA4A2D">
      <w:pPr>
        <w:pStyle w:val="Default"/>
        <w:widowControl w:val="0"/>
        <w:rPr>
          <w:rFonts w:ascii="Times New Roman" w:hAnsi="Times New Roman" w:cs="Times New Roman"/>
          <w:sz w:val="22"/>
          <w:szCs w:val="22"/>
        </w:rPr>
      </w:pPr>
    </w:p>
    <w:p w14:paraId="7DC60AF8" w14:textId="77777777" w:rsidR="00E0615F" w:rsidRPr="00422A19" w:rsidRDefault="00E0615F" w:rsidP="00BA4A2D">
      <w:pPr>
        <w:widowControl w:val="0"/>
        <w:spacing w:after="0" w:line="240" w:lineRule="auto"/>
        <w:rPr>
          <w:rFonts w:ascii="Times New Roman" w:hAnsi="Times New Roman" w:cs="Times New Roman"/>
        </w:rPr>
      </w:pPr>
      <w:r w:rsidRPr="00422A19">
        <w:rPr>
          <w:rFonts w:ascii="Times New Roman" w:hAnsi="Times New Roman" w:cs="Times New Roman"/>
          <w:b/>
          <w:bCs/>
        </w:rPr>
        <w:t xml:space="preserve">Benefits: </w:t>
      </w:r>
      <w:r w:rsidRPr="00422A19">
        <w:rPr>
          <w:rFonts w:ascii="Times New Roman" w:hAnsi="Times New Roman" w:cs="Times New Roman"/>
        </w:rPr>
        <w:t xml:space="preserve">This study has the possibility to provide greater understanding on how classroom experiences impact course enrollment decisions by all students. Results could provide guidance to educators on which sources of self-efficacy have the most impact on student science course decision making. </w:t>
      </w:r>
    </w:p>
    <w:p w14:paraId="319FCDF2" w14:textId="77777777" w:rsidR="00E0615F" w:rsidRPr="00422A19" w:rsidRDefault="00E0615F" w:rsidP="00BA4A2D">
      <w:pPr>
        <w:pStyle w:val="Default"/>
        <w:widowControl w:val="0"/>
        <w:rPr>
          <w:rFonts w:ascii="Times New Roman" w:hAnsi="Times New Roman" w:cs="Times New Roman"/>
          <w:sz w:val="22"/>
          <w:szCs w:val="22"/>
        </w:rPr>
      </w:pPr>
    </w:p>
    <w:p w14:paraId="5AAC8E82" w14:textId="77777777" w:rsidR="00E0615F" w:rsidRDefault="00E0615F" w:rsidP="00BA4A2D">
      <w:pPr>
        <w:pStyle w:val="Default"/>
        <w:widowControl w:val="0"/>
        <w:rPr>
          <w:rFonts w:ascii="Times New Roman" w:hAnsi="Times New Roman" w:cs="Times New Roman"/>
          <w:sz w:val="22"/>
          <w:szCs w:val="22"/>
        </w:rPr>
      </w:pPr>
      <w:r w:rsidRPr="00422A19">
        <w:rPr>
          <w:rFonts w:ascii="Times New Roman" w:hAnsi="Times New Roman" w:cs="Times New Roman"/>
          <w:b/>
          <w:bCs/>
          <w:sz w:val="22"/>
          <w:szCs w:val="22"/>
        </w:rPr>
        <w:t xml:space="preserve">Risks and Discomforts to the Participants: </w:t>
      </w:r>
      <w:r w:rsidRPr="00422A19">
        <w:rPr>
          <w:rFonts w:ascii="Times New Roman" w:hAnsi="Times New Roman" w:cs="Times New Roman"/>
          <w:sz w:val="22"/>
          <w:szCs w:val="22"/>
        </w:rPr>
        <w:t xml:space="preserve">This study involves very minimal risk to participants. The sources of self-efficacy instrument has some questions that will cause participants to reflect on their experiences in the physics classroom over the last year. </w:t>
      </w:r>
      <w:r>
        <w:rPr>
          <w:rFonts w:ascii="Times New Roman" w:hAnsi="Times New Roman" w:cs="Times New Roman"/>
          <w:sz w:val="22"/>
          <w:szCs w:val="22"/>
        </w:rPr>
        <w:t>Should you experience any negative emotions as a result of participation in this study, the school social workers can be contacted at:</w:t>
      </w:r>
    </w:p>
    <w:p w14:paraId="28E40A03" w14:textId="77777777" w:rsidR="00E0615F" w:rsidRPr="00422A19" w:rsidRDefault="00E0615F" w:rsidP="00BA4A2D">
      <w:pPr>
        <w:pStyle w:val="Default"/>
        <w:widowControl w:val="0"/>
        <w:tabs>
          <w:tab w:val="left" w:pos="5970"/>
        </w:tabs>
        <w:rPr>
          <w:rFonts w:ascii="Times New Roman" w:hAnsi="Times New Roman" w:cs="Times New Roman"/>
          <w:sz w:val="22"/>
          <w:szCs w:val="22"/>
        </w:rPr>
      </w:pPr>
      <w:r>
        <w:rPr>
          <w:rFonts w:ascii="Times New Roman" w:hAnsi="Times New Roman" w:cs="Times New Roman"/>
          <w:sz w:val="22"/>
          <w:szCs w:val="22"/>
        </w:rPr>
        <w:t>Mary Palacious 708-579-6345 and Joan Cushing 708-579-6515.</w:t>
      </w:r>
    </w:p>
    <w:p w14:paraId="4F60E76F" w14:textId="77777777" w:rsidR="00E0615F" w:rsidRPr="00422A19" w:rsidRDefault="00E0615F" w:rsidP="00BA4A2D">
      <w:pPr>
        <w:pStyle w:val="Default"/>
        <w:widowControl w:val="0"/>
        <w:rPr>
          <w:rFonts w:ascii="Times New Roman" w:hAnsi="Times New Roman" w:cs="Times New Roman"/>
          <w:sz w:val="22"/>
          <w:szCs w:val="22"/>
        </w:rPr>
      </w:pPr>
    </w:p>
    <w:p w14:paraId="539B7F11" w14:textId="48A5F5C3" w:rsidR="00E0615F" w:rsidRPr="00422A19" w:rsidRDefault="00E0615F" w:rsidP="00BA4A2D">
      <w:pPr>
        <w:pStyle w:val="Default"/>
        <w:widowControl w:val="0"/>
        <w:rPr>
          <w:rFonts w:ascii="Times New Roman" w:hAnsi="Times New Roman" w:cs="Times New Roman"/>
          <w:bCs/>
          <w:sz w:val="22"/>
          <w:szCs w:val="22"/>
        </w:rPr>
      </w:pPr>
      <w:r w:rsidRPr="00422A19">
        <w:rPr>
          <w:rFonts w:ascii="Times New Roman" w:hAnsi="Times New Roman" w:cs="Times New Roman"/>
          <w:b/>
          <w:bCs/>
          <w:sz w:val="22"/>
          <w:szCs w:val="22"/>
        </w:rPr>
        <w:t xml:space="preserve">Privacy and Confidentiality: </w:t>
      </w:r>
      <w:r w:rsidRPr="00422A19">
        <w:rPr>
          <w:rFonts w:ascii="Times New Roman" w:hAnsi="Times New Roman" w:cs="Times New Roman"/>
          <w:bCs/>
          <w:sz w:val="22"/>
          <w:szCs w:val="22"/>
        </w:rPr>
        <w:t xml:space="preserve">Only the researcher will have access to your child’s data. Names or personal information about participants will not be shared. A student ID number will be the only connecting identifier on the gathered data. </w:t>
      </w:r>
    </w:p>
    <w:p w14:paraId="0F667EAE" w14:textId="77777777" w:rsidR="00E0615F" w:rsidRPr="00422A19" w:rsidRDefault="00E0615F" w:rsidP="00BA4A2D">
      <w:pPr>
        <w:pStyle w:val="Default"/>
        <w:widowControl w:val="0"/>
        <w:rPr>
          <w:rFonts w:ascii="Times New Roman" w:hAnsi="Times New Roman" w:cs="Times New Roman"/>
          <w:sz w:val="22"/>
          <w:szCs w:val="22"/>
        </w:rPr>
      </w:pPr>
    </w:p>
    <w:p w14:paraId="6A1681F8" w14:textId="04C085F6" w:rsidR="00E0615F" w:rsidRPr="00422A19" w:rsidRDefault="00E0615F" w:rsidP="00BA4A2D">
      <w:pPr>
        <w:pStyle w:val="Default"/>
        <w:widowControl w:val="0"/>
        <w:rPr>
          <w:rFonts w:ascii="Times New Roman" w:hAnsi="Times New Roman" w:cs="Times New Roman"/>
          <w:bCs/>
          <w:sz w:val="22"/>
          <w:szCs w:val="22"/>
        </w:rPr>
      </w:pPr>
      <w:r w:rsidRPr="00422A19">
        <w:rPr>
          <w:rFonts w:ascii="Times New Roman" w:hAnsi="Times New Roman" w:cs="Times New Roman"/>
          <w:b/>
          <w:bCs/>
          <w:sz w:val="22"/>
          <w:szCs w:val="22"/>
        </w:rPr>
        <w:lastRenderedPageBreak/>
        <w:t xml:space="preserve">Voluntary Participation: </w:t>
      </w:r>
      <w:r w:rsidRPr="00422A19">
        <w:rPr>
          <w:rFonts w:ascii="Times New Roman" w:hAnsi="Times New Roman" w:cs="Times New Roman"/>
          <w:bCs/>
          <w:sz w:val="22"/>
          <w:szCs w:val="22"/>
        </w:rPr>
        <w:t>Your child’s participation is voluntary. There are no negative consequences, loss of benefits, or penalties for choosing not to participate. Your child may change their mind later and decide to withdraw from the study</w:t>
      </w:r>
      <w:r>
        <w:rPr>
          <w:rFonts w:ascii="Times New Roman" w:hAnsi="Times New Roman" w:cs="Times New Roman"/>
          <w:bCs/>
          <w:sz w:val="22"/>
          <w:szCs w:val="22"/>
        </w:rPr>
        <w:t xml:space="preserve"> at any time</w:t>
      </w:r>
      <w:r w:rsidRPr="00422A19">
        <w:rPr>
          <w:rFonts w:ascii="Times New Roman" w:hAnsi="Times New Roman" w:cs="Times New Roman"/>
          <w:bCs/>
          <w:sz w:val="22"/>
          <w:szCs w:val="22"/>
        </w:rPr>
        <w:t xml:space="preserve">. </w:t>
      </w:r>
    </w:p>
    <w:p w14:paraId="7C850019" w14:textId="77777777" w:rsidR="00E0615F" w:rsidRPr="00422A19" w:rsidRDefault="00E0615F" w:rsidP="00BA4A2D">
      <w:pPr>
        <w:pStyle w:val="Default"/>
        <w:widowControl w:val="0"/>
        <w:rPr>
          <w:rFonts w:ascii="Times New Roman" w:hAnsi="Times New Roman" w:cs="Times New Roman"/>
          <w:sz w:val="22"/>
          <w:szCs w:val="22"/>
        </w:rPr>
      </w:pPr>
    </w:p>
    <w:p w14:paraId="1561CCB3" w14:textId="77777777" w:rsidR="00E0615F" w:rsidRPr="00422A19" w:rsidRDefault="00E0615F" w:rsidP="00BA4A2D">
      <w:pPr>
        <w:pStyle w:val="Default"/>
        <w:widowControl w:val="0"/>
        <w:rPr>
          <w:rFonts w:ascii="Times New Roman" w:hAnsi="Times New Roman" w:cs="Times New Roman"/>
          <w:bCs/>
          <w:sz w:val="22"/>
          <w:szCs w:val="22"/>
        </w:rPr>
      </w:pPr>
      <w:r w:rsidRPr="00422A19">
        <w:rPr>
          <w:rFonts w:ascii="Times New Roman" w:hAnsi="Times New Roman" w:cs="Times New Roman"/>
          <w:b/>
          <w:bCs/>
          <w:sz w:val="22"/>
          <w:szCs w:val="22"/>
        </w:rPr>
        <w:t xml:space="preserve">Contact Information: </w:t>
      </w:r>
      <w:r w:rsidRPr="00422A19">
        <w:rPr>
          <w:rFonts w:ascii="Times New Roman" w:hAnsi="Times New Roman" w:cs="Times New Roman"/>
          <w:bCs/>
          <w:sz w:val="22"/>
          <w:szCs w:val="22"/>
        </w:rPr>
        <w:t xml:space="preserve">If you have any additional or future questions about this study, you may contact the researcher, Mr. Robert Sherman at </w:t>
      </w:r>
      <w:r w:rsidRPr="00422A19">
        <w:rPr>
          <w:rFonts w:ascii="Times New Roman" w:hAnsi="Times New Roman" w:cs="Times New Roman"/>
          <w:color w:val="222222"/>
          <w:sz w:val="22"/>
          <w:szCs w:val="22"/>
          <w:shd w:val="clear" w:color="auto" w:fill="FFFFFF"/>
        </w:rPr>
        <w:t>crf_shermar@cuchicago.edu.</w:t>
      </w:r>
    </w:p>
    <w:p w14:paraId="63F6AE31" w14:textId="77777777" w:rsidR="00E0615F" w:rsidRPr="00422A19" w:rsidRDefault="00E0615F" w:rsidP="00BA4A2D">
      <w:pPr>
        <w:pStyle w:val="Default"/>
        <w:widowControl w:val="0"/>
        <w:rPr>
          <w:rFonts w:ascii="Times New Roman" w:hAnsi="Times New Roman" w:cs="Times New Roman"/>
          <w:sz w:val="22"/>
          <w:szCs w:val="22"/>
        </w:rPr>
      </w:pPr>
    </w:p>
    <w:p w14:paraId="09856C5D" w14:textId="77777777" w:rsidR="00E0615F" w:rsidRPr="00422A19" w:rsidRDefault="00E0615F" w:rsidP="00BA4A2D">
      <w:pPr>
        <w:pStyle w:val="Default"/>
        <w:widowControl w:val="0"/>
        <w:rPr>
          <w:rFonts w:ascii="Times New Roman" w:hAnsi="Times New Roman" w:cs="Times New Roman"/>
          <w:sz w:val="22"/>
          <w:szCs w:val="22"/>
        </w:rPr>
      </w:pPr>
      <w:r w:rsidRPr="00422A19">
        <w:rPr>
          <w:rFonts w:ascii="Times New Roman" w:hAnsi="Times New Roman" w:cs="Times New Roman"/>
          <w:sz w:val="22"/>
          <w:szCs w:val="22"/>
        </w:rPr>
        <w:t xml:space="preserve">Please contact the Institutional Review Board of Concordia University Chicago at IRB@CUChicago.edu with questions about participant rights. </w:t>
      </w:r>
    </w:p>
    <w:p w14:paraId="5E9AE81A" w14:textId="77777777" w:rsidR="00E0615F" w:rsidRPr="00422A19" w:rsidRDefault="00E0615F" w:rsidP="00BA4A2D">
      <w:pPr>
        <w:pStyle w:val="Default"/>
        <w:widowControl w:val="0"/>
        <w:rPr>
          <w:rFonts w:ascii="Times New Roman" w:hAnsi="Times New Roman" w:cs="Times New Roman"/>
          <w:sz w:val="22"/>
          <w:szCs w:val="22"/>
        </w:rPr>
      </w:pPr>
    </w:p>
    <w:p w14:paraId="77C70FC0" w14:textId="77777777" w:rsidR="00E0615F" w:rsidRPr="00422A19" w:rsidRDefault="00E0615F" w:rsidP="00BA4A2D">
      <w:pPr>
        <w:pStyle w:val="Default"/>
        <w:widowControl w:val="0"/>
        <w:rPr>
          <w:rFonts w:ascii="Times New Roman" w:hAnsi="Times New Roman" w:cs="Times New Roman"/>
          <w:sz w:val="22"/>
          <w:szCs w:val="22"/>
        </w:rPr>
      </w:pPr>
      <w:r w:rsidRPr="00422A19">
        <w:rPr>
          <w:rFonts w:ascii="Times New Roman" w:hAnsi="Times New Roman" w:cs="Times New Roman"/>
          <w:b/>
          <w:bCs/>
          <w:sz w:val="22"/>
          <w:szCs w:val="22"/>
        </w:rPr>
        <w:t>Consent Statement and Signature:</w:t>
      </w:r>
    </w:p>
    <w:p w14:paraId="2AB41E94" w14:textId="77777777" w:rsidR="00E0615F" w:rsidRPr="00422A19" w:rsidRDefault="00E0615F" w:rsidP="00BA4A2D">
      <w:pPr>
        <w:widowControl w:val="0"/>
        <w:spacing w:after="0" w:line="240" w:lineRule="auto"/>
        <w:rPr>
          <w:rFonts w:ascii="Times New Roman" w:hAnsi="Times New Roman" w:cs="Times New Roman"/>
        </w:rPr>
      </w:pPr>
      <w:r w:rsidRPr="00422A19">
        <w:rPr>
          <w:rFonts w:ascii="Times New Roman" w:hAnsi="Times New Roman" w:cs="Times New Roman"/>
        </w:rPr>
        <w:t>I affirm that I have read this consent form and have had the opportunity to have my questions answered to my satisfaction. I voluntarily agree to allow my child to participate in this study. I understand that a copy of this consent will be provided to me upon request.</w:t>
      </w:r>
    </w:p>
    <w:p w14:paraId="5B05E7E9" w14:textId="77777777" w:rsidR="00E0615F" w:rsidRPr="00422A19" w:rsidRDefault="00E0615F" w:rsidP="00BA4A2D">
      <w:pPr>
        <w:pStyle w:val="Default"/>
        <w:widowControl w:val="0"/>
        <w:rPr>
          <w:rFonts w:ascii="Times New Roman" w:hAnsi="Times New Roman" w:cs="Times New Roman"/>
          <w:b/>
          <w:bCs/>
          <w:sz w:val="22"/>
          <w:szCs w:val="22"/>
        </w:rPr>
      </w:pPr>
      <w:r w:rsidRPr="00422A19">
        <w:rPr>
          <w:rFonts w:ascii="Times New Roman" w:hAnsi="Times New Roman" w:cs="Times New Roman"/>
          <w:b/>
          <w:bCs/>
          <w:sz w:val="22"/>
          <w:szCs w:val="22"/>
        </w:rPr>
        <w:t xml:space="preserve">Signature of grantor: </w:t>
      </w:r>
      <w:r w:rsidRPr="00422A19">
        <w:rPr>
          <w:rFonts w:ascii="Times New Roman" w:hAnsi="Times New Roman" w:cs="Times New Roman"/>
          <w:b/>
          <w:bCs/>
          <w:sz w:val="22"/>
          <w:szCs w:val="22"/>
        </w:rPr>
        <w:tab/>
      </w:r>
      <w:r w:rsidRPr="00422A19">
        <w:rPr>
          <w:rFonts w:ascii="Times New Roman" w:hAnsi="Times New Roman" w:cs="Times New Roman"/>
          <w:b/>
          <w:bCs/>
          <w:sz w:val="22"/>
          <w:szCs w:val="22"/>
        </w:rPr>
        <w:tab/>
      </w:r>
      <w:r w:rsidRPr="00422A19">
        <w:rPr>
          <w:rFonts w:ascii="Times New Roman" w:hAnsi="Times New Roman" w:cs="Times New Roman"/>
          <w:b/>
          <w:bCs/>
          <w:sz w:val="22"/>
          <w:szCs w:val="22"/>
        </w:rPr>
        <w:tab/>
      </w:r>
      <w:r w:rsidRPr="00422A19">
        <w:rPr>
          <w:rFonts w:ascii="Times New Roman" w:hAnsi="Times New Roman" w:cs="Times New Roman"/>
          <w:b/>
          <w:bCs/>
          <w:sz w:val="22"/>
          <w:szCs w:val="22"/>
        </w:rPr>
        <w:tab/>
      </w:r>
      <w:r w:rsidRPr="00422A19">
        <w:rPr>
          <w:rFonts w:ascii="Times New Roman" w:hAnsi="Times New Roman" w:cs="Times New Roman"/>
          <w:b/>
          <w:bCs/>
          <w:sz w:val="22"/>
          <w:szCs w:val="22"/>
        </w:rPr>
        <w:tab/>
        <w:t xml:space="preserve">Printed name: </w:t>
      </w:r>
    </w:p>
    <w:p w14:paraId="0C9EAED0" w14:textId="77777777" w:rsidR="00E0615F" w:rsidRPr="00422A19" w:rsidRDefault="00E0615F" w:rsidP="00BA4A2D">
      <w:pPr>
        <w:pStyle w:val="Default"/>
        <w:widowControl w:val="0"/>
        <w:rPr>
          <w:rFonts w:ascii="Times New Roman" w:hAnsi="Times New Roman" w:cs="Times New Roman"/>
          <w:b/>
          <w:bCs/>
          <w:sz w:val="22"/>
          <w:szCs w:val="22"/>
        </w:rPr>
      </w:pPr>
    </w:p>
    <w:p w14:paraId="3EA51AE2" w14:textId="77777777" w:rsidR="00E0615F" w:rsidRPr="00422A19" w:rsidRDefault="00E0615F" w:rsidP="00BA4A2D">
      <w:pPr>
        <w:pStyle w:val="Default"/>
        <w:widowControl w:val="0"/>
        <w:rPr>
          <w:rFonts w:ascii="Times New Roman" w:hAnsi="Times New Roman" w:cs="Times New Roman"/>
          <w:b/>
          <w:bCs/>
          <w:sz w:val="22"/>
          <w:szCs w:val="22"/>
        </w:rPr>
      </w:pPr>
    </w:p>
    <w:p w14:paraId="5F052837" w14:textId="77777777" w:rsidR="00E0615F" w:rsidRPr="00422A19" w:rsidRDefault="00E0615F" w:rsidP="00BA4A2D">
      <w:pPr>
        <w:pStyle w:val="Default"/>
        <w:widowControl w:val="0"/>
        <w:rPr>
          <w:rFonts w:ascii="Times New Roman" w:hAnsi="Times New Roman" w:cs="Times New Roman"/>
          <w:b/>
          <w:bCs/>
          <w:sz w:val="22"/>
          <w:szCs w:val="22"/>
        </w:rPr>
      </w:pPr>
      <w:r w:rsidRPr="00422A19">
        <w:rPr>
          <w:rFonts w:ascii="Times New Roman" w:hAnsi="Times New Roman" w:cs="Times New Roman"/>
          <w:b/>
          <w:bCs/>
          <w:sz w:val="22"/>
          <w:szCs w:val="22"/>
        </w:rPr>
        <w:t xml:space="preserve">Date: </w:t>
      </w:r>
    </w:p>
    <w:p w14:paraId="63E4B732" w14:textId="77777777" w:rsidR="00E0615F" w:rsidRPr="00422A19" w:rsidRDefault="00E0615F" w:rsidP="00BA4A2D">
      <w:pPr>
        <w:pStyle w:val="Default"/>
        <w:widowControl w:val="0"/>
        <w:rPr>
          <w:rFonts w:ascii="Times New Roman" w:hAnsi="Times New Roman" w:cs="Times New Roman"/>
          <w:b/>
          <w:bCs/>
          <w:sz w:val="22"/>
          <w:szCs w:val="22"/>
        </w:rPr>
      </w:pPr>
    </w:p>
    <w:p w14:paraId="5854E49C" w14:textId="77777777" w:rsidR="00E0615F" w:rsidRPr="00422A19" w:rsidRDefault="00E0615F" w:rsidP="00BA4A2D">
      <w:pPr>
        <w:pStyle w:val="Default"/>
        <w:widowControl w:val="0"/>
        <w:rPr>
          <w:rFonts w:ascii="Times New Roman" w:hAnsi="Times New Roman" w:cs="Times New Roman"/>
          <w:b/>
          <w:bCs/>
          <w:sz w:val="22"/>
          <w:szCs w:val="22"/>
        </w:rPr>
      </w:pPr>
    </w:p>
    <w:p w14:paraId="4BD320A5" w14:textId="77777777" w:rsidR="00E0615F" w:rsidRPr="00422A19" w:rsidRDefault="00E0615F" w:rsidP="00BA4A2D">
      <w:pPr>
        <w:pStyle w:val="Default"/>
        <w:widowControl w:val="0"/>
        <w:rPr>
          <w:rFonts w:ascii="Times New Roman" w:hAnsi="Times New Roman" w:cs="Times New Roman"/>
          <w:b/>
          <w:bCs/>
          <w:sz w:val="22"/>
          <w:szCs w:val="22"/>
        </w:rPr>
      </w:pPr>
      <w:r w:rsidRPr="00422A19">
        <w:rPr>
          <w:rFonts w:ascii="Times New Roman" w:hAnsi="Times New Roman" w:cs="Times New Roman"/>
          <w:b/>
          <w:bCs/>
          <w:sz w:val="22"/>
          <w:szCs w:val="22"/>
        </w:rPr>
        <w:t xml:space="preserve">Printed Name of Student Participant: </w:t>
      </w:r>
    </w:p>
    <w:p w14:paraId="7D9829F6" w14:textId="77777777" w:rsidR="00E0615F" w:rsidRPr="00422A19" w:rsidRDefault="00E0615F" w:rsidP="00BA4A2D">
      <w:pPr>
        <w:pStyle w:val="Default"/>
        <w:widowControl w:val="0"/>
        <w:rPr>
          <w:rFonts w:ascii="Times New Roman" w:hAnsi="Times New Roman" w:cs="Times New Roman"/>
          <w:b/>
          <w:bCs/>
          <w:sz w:val="22"/>
          <w:szCs w:val="22"/>
        </w:rPr>
      </w:pPr>
    </w:p>
    <w:p w14:paraId="518EC245" w14:textId="77777777" w:rsidR="00E0615F" w:rsidRPr="00422A19" w:rsidRDefault="00E0615F" w:rsidP="00BA4A2D">
      <w:pPr>
        <w:widowControl w:val="0"/>
        <w:spacing w:after="0" w:line="240" w:lineRule="auto"/>
        <w:rPr>
          <w:rFonts w:ascii="Times New Roman" w:hAnsi="Times New Roman" w:cs="Times New Roman"/>
        </w:rPr>
      </w:pPr>
    </w:p>
    <w:p w14:paraId="1497CD15" w14:textId="60EAF578" w:rsidR="00E0615F" w:rsidRDefault="00E0615F" w:rsidP="00BA4A2D">
      <w:pPr>
        <w:widowControl w:val="0"/>
        <w:spacing w:after="0" w:line="240" w:lineRule="auto"/>
        <w:rPr>
          <w:rFonts w:ascii="Times New Roman" w:hAnsi="Times New Roman" w:cs="Times New Roman"/>
          <w:b/>
          <w:sz w:val="24"/>
          <w:szCs w:val="24"/>
        </w:rPr>
      </w:pPr>
    </w:p>
    <w:p w14:paraId="30D7EE1D" w14:textId="07B44DB2" w:rsidR="00E0615F" w:rsidRDefault="00E0615F" w:rsidP="00BA4A2D">
      <w:pPr>
        <w:widowControl w:val="0"/>
        <w:spacing w:after="0" w:line="240" w:lineRule="auto"/>
        <w:rPr>
          <w:rFonts w:ascii="Times New Roman" w:hAnsi="Times New Roman" w:cs="Times New Roman"/>
          <w:b/>
          <w:sz w:val="24"/>
          <w:szCs w:val="24"/>
        </w:rPr>
      </w:pPr>
    </w:p>
    <w:p w14:paraId="2B156056" w14:textId="4DEBEC07" w:rsidR="00E0615F" w:rsidRDefault="00E0615F" w:rsidP="00BA4A2D">
      <w:pPr>
        <w:widowControl w:val="0"/>
        <w:spacing w:after="0" w:line="240" w:lineRule="auto"/>
        <w:rPr>
          <w:rFonts w:ascii="Times New Roman" w:hAnsi="Times New Roman" w:cs="Times New Roman"/>
          <w:b/>
          <w:sz w:val="24"/>
          <w:szCs w:val="24"/>
        </w:rPr>
      </w:pPr>
    </w:p>
    <w:p w14:paraId="6ECAB423" w14:textId="77777777" w:rsidR="00E0615F" w:rsidRDefault="00E0615F" w:rsidP="00BA4A2D">
      <w:pPr>
        <w:widowControl w:val="0"/>
        <w:spacing w:after="0" w:line="240" w:lineRule="auto"/>
        <w:rPr>
          <w:rFonts w:ascii="Times New Roman" w:hAnsi="Times New Roman" w:cs="Times New Roman"/>
          <w:b/>
          <w:sz w:val="24"/>
          <w:szCs w:val="24"/>
        </w:rPr>
      </w:pPr>
    </w:p>
    <w:p w14:paraId="7F2FF274" w14:textId="07911C59" w:rsidR="00347587" w:rsidRDefault="00347587" w:rsidP="00BA4A2D">
      <w:pPr>
        <w:widowControl w:val="0"/>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br w:type="page"/>
      </w:r>
    </w:p>
    <w:p w14:paraId="64F93B6D" w14:textId="5675A6B9" w:rsidR="00FB41AA" w:rsidRDefault="00347587" w:rsidP="00BA4A2D">
      <w:pPr>
        <w:pStyle w:val="Heading1"/>
        <w:jc w:val="center"/>
        <w:rPr>
          <w:shd w:val="clear" w:color="auto" w:fill="FFFFFF"/>
        </w:rPr>
      </w:pPr>
      <w:bookmarkStart w:id="72" w:name="_Toc117501944"/>
      <w:r>
        <w:rPr>
          <w:shd w:val="clear" w:color="auto" w:fill="FFFFFF"/>
        </w:rPr>
        <w:lastRenderedPageBreak/>
        <w:t>Appendix E</w:t>
      </w:r>
      <w:bookmarkEnd w:id="72"/>
    </w:p>
    <w:p w14:paraId="7A89E7F0" w14:textId="14331098" w:rsidR="005F1F95" w:rsidRDefault="005F1F95" w:rsidP="00BA4A2D">
      <w:pPr>
        <w:widowControl w:val="0"/>
        <w:spacing w:after="0"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Model </w:t>
      </w:r>
      <w:r w:rsidR="009B0B62">
        <w:rPr>
          <w:rFonts w:ascii="Times New Roman" w:hAnsi="Times New Roman" w:cs="Times New Roman"/>
          <w:color w:val="000000"/>
          <w:sz w:val="24"/>
          <w:szCs w:val="24"/>
          <w:shd w:val="clear" w:color="auto" w:fill="FFFFFF"/>
        </w:rPr>
        <w:t xml:space="preserve">One </w:t>
      </w:r>
      <w:r>
        <w:rPr>
          <w:rFonts w:ascii="Times New Roman" w:hAnsi="Times New Roman" w:cs="Times New Roman"/>
          <w:color w:val="000000"/>
          <w:sz w:val="24"/>
          <w:szCs w:val="24"/>
          <w:shd w:val="clear" w:color="auto" w:fill="FFFFFF"/>
        </w:rPr>
        <w:t xml:space="preserve">Fit and </w:t>
      </w:r>
      <w:r w:rsidR="006B0EB7">
        <w:rPr>
          <w:rFonts w:ascii="Times New Roman" w:hAnsi="Times New Roman" w:cs="Times New Roman"/>
          <w:color w:val="000000"/>
          <w:sz w:val="24"/>
          <w:szCs w:val="24"/>
          <w:shd w:val="clear" w:color="auto" w:fill="FFFFFF"/>
        </w:rPr>
        <w:t>Significance</w:t>
      </w:r>
    </w:p>
    <w:p w14:paraId="1898940C" w14:textId="61BFAFF3" w:rsidR="00347587" w:rsidRDefault="00347587" w:rsidP="00BA4A2D">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Table </w:t>
      </w:r>
      <w:r w:rsidR="005F1F95">
        <w:rPr>
          <w:rFonts w:ascii="Times New Roman" w:hAnsi="Times New Roman" w:cs="Times New Roman"/>
          <w:sz w:val="24"/>
          <w:szCs w:val="24"/>
        </w:rPr>
        <w:t>E1</w:t>
      </w:r>
    </w:p>
    <w:p w14:paraId="30743C7E" w14:textId="77777777" w:rsidR="00347587" w:rsidRPr="00D448B9" w:rsidRDefault="00347587" w:rsidP="00BA4A2D">
      <w:pPr>
        <w:widowControl w:val="0"/>
        <w:spacing w:after="0" w:line="480" w:lineRule="auto"/>
        <w:rPr>
          <w:rFonts w:ascii="Times New Roman" w:hAnsi="Times New Roman" w:cs="Times New Roman"/>
          <w:i/>
          <w:sz w:val="24"/>
          <w:szCs w:val="24"/>
        </w:rPr>
      </w:pPr>
      <w:r w:rsidRPr="00D448B9">
        <w:rPr>
          <w:rFonts w:ascii="Times New Roman" w:hAnsi="Times New Roman" w:cs="Times New Roman"/>
          <w:i/>
          <w:sz w:val="24"/>
          <w:szCs w:val="24"/>
        </w:rPr>
        <w:t>Omnibus Tests of Model Coefficients</w:t>
      </w:r>
      <w:r>
        <w:rPr>
          <w:rFonts w:ascii="Times New Roman" w:hAnsi="Times New Roman" w:cs="Times New Roman"/>
          <w:i/>
          <w:sz w:val="24"/>
          <w:szCs w:val="24"/>
        </w:rPr>
        <w:t xml:space="preserve"> for Research Question #1</w:t>
      </w:r>
      <w:r w:rsidRPr="00D448B9">
        <w:rPr>
          <w:rFonts w:ascii="Times New Roman" w:hAnsi="Times New Roman" w:cs="Times New Roman"/>
          <w:i/>
          <w:sz w:val="24"/>
          <w:szCs w:val="24"/>
        </w:rPr>
        <w:t xml:space="preserve"> – All Cases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
      <w:tblGrid>
        <w:gridCol w:w="860"/>
        <w:gridCol w:w="1697"/>
        <w:gridCol w:w="683"/>
        <w:gridCol w:w="1170"/>
      </w:tblGrid>
      <w:tr w:rsidR="00347587" w14:paraId="4364B72E" w14:textId="77777777" w:rsidTr="00BA4A2D">
        <w:trPr>
          <w:trHeight w:hRule="exact" w:val="335"/>
        </w:trPr>
        <w:tc>
          <w:tcPr>
            <w:tcW w:w="860" w:type="dxa"/>
            <w:tcBorders>
              <w:top w:val="single" w:sz="8" w:space="0" w:color="auto"/>
              <w:bottom w:val="single" w:sz="4" w:space="0" w:color="auto"/>
            </w:tcBorders>
            <w:vAlign w:val="center"/>
          </w:tcPr>
          <w:p w14:paraId="76418716" w14:textId="77777777" w:rsidR="00347587" w:rsidRPr="00860722" w:rsidRDefault="00347587" w:rsidP="00BA4A2D">
            <w:pPr>
              <w:widowControl w:val="0"/>
              <w:spacing w:after="0" w:line="240" w:lineRule="auto"/>
              <w:jc w:val="center"/>
              <w:rPr>
                <w:i/>
              </w:rPr>
            </w:pPr>
          </w:p>
        </w:tc>
        <w:tc>
          <w:tcPr>
            <w:tcW w:w="1697" w:type="dxa"/>
            <w:tcBorders>
              <w:top w:val="single" w:sz="8" w:space="0" w:color="auto"/>
              <w:bottom w:val="single" w:sz="4" w:space="0" w:color="auto"/>
            </w:tcBorders>
          </w:tcPr>
          <w:p w14:paraId="4AE8449D" w14:textId="77777777" w:rsidR="00347587" w:rsidRPr="00D448B9" w:rsidRDefault="00347587" w:rsidP="00BA4A2D">
            <w:pPr>
              <w:widowControl w:val="0"/>
              <w:spacing w:after="0" w:line="240" w:lineRule="auto"/>
              <w:jc w:val="center"/>
            </w:pPr>
            <w:r>
              <w:t>Chi-Square</w:t>
            </w:r>
          </w:p>
        </w:tc>
        <w:tc>
          <w:tcPr>
            <w:tcW w:w="683" w:type="dxa"/>
            <w:tcBorders>
              <w:top w:val="single" w:sz="8" w:space="0" w:color="auto"/>
              <w:bottom w:val="single" w:sz="4" w:space="0" w:color="auto"/>
            </w:tcBorders>
          </w:tcPr>
          <w:p w14:paraId="4B9D0AFC" w14:textId="77777777" w:rsidR="00347587" w:rsidRPr="00D448B9" w:rsidRDefault="00347587" w:rsidP="00BA4A2D">
            <w:pPr>
              <w:widowControl w:val="0"/>
              <w:spacing w:after="0" w:line="240" w:lineRule="auto"/>
              <w:jc w:val="center"/>
            </w:pPr>
            <w:r>
              <w:t>df</w:t>
            </w:r>
          </w:p>
        </w:tc>
        <w:tc>
          <w:tcPr>
            <w:tcW w:w="1170" w:type="dxa"/>
            <w:tcBorders>
              <w:top w:val="single" w:sz="8" w:space="0" w:color="auto"/>
              <w:bottom w:val="single" w:sz="4" w:space="0" w:color="auto"/>
            </w:tcBorders>
          </w:tcPr>
          <w:p w14:paraId="62BB381E" w14:textId="77777777" w:rsidR="00347587" w:rsidRPr="00D448B9" w:rsidRDefault="00347587" w:rsidP="00BA4A2D">
            <w:pPr>
              <w:widowControl w:val="0"/>
              <w:spacing w:after="0" w:line="240" w:lineRule="auto"/>
              <w:jc w:val="center"/>
            </w:pPr>
            <w:r>
              <w:t>Sig.</w:t>
            </w:r>
          </w:p>
        </w:tc>
      </w:tr>
      <w:tr w:rsidR="00347587" w14:paraId="232EDA02" w14:textId="77777777" w:rsidTr="00BA4A2D">
        <w:trPr>
          <w:trHeight w:hRule="exact" w:val="352"/>
        </w:trPr>
        <w:tc>
          <w:tcPr>
            <w:tcW w:w="860" w:type="dxa"/>
            <w:tcBorders>
              <w:top w:val="single" w:sz="4" w:space="0" w:color="auto"/>
            </w:tcBorders>
            <w:vAlign w:val="center"/>
          </w:tcPr>
          <w:p w14:paraId="09D44937" w14:textId="77777777" w:rsidR="00347587" w:rsidRDefault="00347587" w:rsidP="00BA4A2D">
            <w:pPr>
              <w:widowControl w:val="0"/>
              <w:spacing w:after="0" w:line="240" w:lineRule="auto"/>
              <w:jc w:val="center"/>
            </w:pPr>
            <w:r>
              <w:t xml:space="preserve">Step </w:t>
            </w:r>
          </w:p>
        </w:tc>
        <w:tc>
          <w:tcPr>
            <w:tcW w:w="1697" w:type="dxa"/>
            <w:tcBorders>
              <w:top w:val="single" w:sz="4" w:space="0" w:color="auto"/>
            </w:tcBorders>
          </w:tcPr>
          <w:p w14:paraId="30096CDE" w14:textId="77777777" w:rsidR="00347587" w:rsidRDefault="00347587" w:rsidP="00BA4A2D">
            <w:pPr>
              <w:widowControl w:val="0"/>
              <w:spacing w:after="0" w:line="240" w:lineRule="auto"/>
              <w:jc w:val="center"/>
            </w:pPr>
            <w:r>
              <w:t>41.470</w:t>
            </w:r>
          </w:p>
        </w:tc>
        <w:tc>
          <w:tcPr>
            <w:tcW w:w="683" w:type="dxa"/>
            <w:tcBorders>
              <w:top w:val="single" w:sz="4" w:space="0" w:color="auto"/>
            </w:tcBorders>
          </w:tcPr>
          <w:p w14:paraId="74A248BA" w14:textId="77777777" w:rsidR="00347587" w:rsidRDefault="00347587" w:rsidP="00BA4A2D">
            <w:pPr>
              <w:widowControl w:val="0"/>
              <w:spacing w:after="0" w:line="240" w:lineRule="auto"/>
              <w:jc w:val="center"/>
            </w:pPr>
            <w:r>
              <w:t>7</w:t>
            </w:r>
          </w:p>
        </w:tc>
        <w:tc>
          <w:tcPr>
            <w:tcW w:w="1170" w:type="dxa"/>
            <w:tcBorders>
              <w:top w:val="single" w:sz="4" w:space="0" w:color="auto"/>
            </w:tcBorders>
          </w:tcPr>
          <w:p w14:paraId="10CCFDBC" w14:textId="77777777" w:rsidR="00347587" w:rsidRDefault="00347587" w:rsidP="00BA4A2D">
            <w:pPr>
              <w:widowControl w:val="0"/>
              <w:spacing w:after="0" w:line="240" w:lineRule="auto"/>
              <w:jc w:val="center"/>
            </w:pPr>
            <w:r>
              <w:t>&lt;.001</w:t>
            </w:r>
          </w:p>
        </w:tc>
      </w:tr>
      <w:tr w:rsidR="00347587" w14:paraId="139158CB" w14:textId="77777777" w:rsidTr="00BA4A2D">
        <w:trPr>
          <w:trHeight w:hRule="exact" w:val="252"/>
        </w:trPr>
        <w:tc>
          <w:tcPr>
            <w:tcW w:w="860" w:type="dxa"/>
            <w:vAlign w:val="center"/>
          </w:tcPr>
          <w:p w14:paraId="576E47DB" w14:textId="77777777" w:rsidR="00347587" w:rsidRDefault="00347587" w:rsidP="00BA4A2D">
            <w:pPr>
              <w:widowControl w:val="0"/>
              <w:spacing w:after="0" w:line="240" w:lineRule="auto"/>
              <w:jc w:val="center"/>
            </w:pPr>
            <w:r>
              <w:t>Block</w:t>
            </w:r>
          </w:p>
        </w:tc>
        <w:tc>
          <w:tcPr>
            <w:tcW w:w="1697" w:type="dxa"/>
          </w:tcPr>
          <w:p w14:paraId="3CC78130" w14:textId="77777777" w:rsidR="00347587" w:rsidRDefault="00347587" w:rsidP="00BA4A2D">
            <w:pPr>
              <w:widowControl w:val="0"/>
              <w:spacing w:after="0" w:line="240" w:lineRule="auto"/>
              <w:jc w:val="center"/>
            </w:pPr>
            <w:r>
              <w:t>41.470</w:t>
            </w:r>
          </w:p>
        </w:tc>
        <w:tc>
          <w:tcPr>
            <w:tcW w:w="683" w:type="dxa"/>
          </w:tcPr>
          <w:p w14:paraId="4CB3E61A" w14:textId="77777777" w:rsidR="00347587" w:rsidRDefault="00347587" w:rsidP="00BA4A2D">
            <w:pPr>
              <w:widowControl w:val="0"/>
              <w:spacing w:after="0" w:line="240" w:lineRule="auto"/>
              <w:jc w:val="center"/>
            </w:pPr>
            <w:r>
              <w:t>7</w:t>
            </w:r>
          </w:p>
        </w:tc>
        <w:tc>
          <w:tcPr>
            <w:tcW w:w="1170" w:type="dxa"/>
          </w:tcPr>
          <w:p w14:paraId="2C8F6137" w14:textId="77777777" w:rsidR="00347587" w:rsidRDefault="00347587" w:rsidP="00BA4A2D">
            <w:pPr>
              <w:widowControl w:val="0"/>
              <w:spacing w:after="0" w:line="240" w:lineRule="auto"/>
              <w:jc w:val="center"/>
            </w:pPr>
            <w:r>
              <w:t>&lt;.001</w:t>
            </w:r>
          </w:p>
        </w:tc>
      </w:tr>
      <w:tr w:rsidR="00347587" w14:paraId="2B198D76" w14:textId="77777777" w:rsidTr="00BA4A2D">
        <w:trPr>
          <w:trHeight w:hRule="exact" w:val="270"/>
        </w:trPr>
        <w:tc>
          <w:tcPr>
            <w:tcW w:w="860" w:type="dxa"/>
            <w:tcBorders>
              <w:bottom w:val="single" w:sz="12" w:space="0" w:color="auto"/>
            </w:tcBorders>
            <w:vAlign w:val="center"/>
          </w:tcPr>
          <w:p w14:paraId="4A08271B" w14:textId="77777777" w:rsidR="00347587" w:rsidRDefault="00347587" w:rsidP="00BA4A2D">
            <w:pPr>
              <w:widowControl w:val="0"/>
              <w:spacing w:after="0" w:line="240" w:lineRule="auto"/>
              <w:jc w:val="center"/>
            </w:pPr>
            <w:r>
              <w:t>Model</w:t>
            </w:r>
          </w:p>
        </w:tc>
        <w:tc>
          <w:tcPr>
            <w:tcW w:w="1697" w:type="dxa"/>
            <w:tcBorders>
              <w:bottom w:val="single" w:sz="12" w:space="0" w:color="auto"/>
            </w:tcBorders>
          </w:tcPr>
          <w:p w14:paraId="35D11BF6" w14:textId="77777777" w:rsidR="00347587" w:rsidRDefault="00347587" w:rsidP="00BA4A2D">
            <w:pPr>
              <w:widowControl w:val="0"/>
              <w:spacing w:after="0" w:line="240" w:lineRule="auto"/>
              <w:jc w:val="center"/>
            </w:pPr>
            <w:r>
              <w:t>41.470</w:t>
            </w:r>
          </w:p>
        </w:tc>
        <w:tc>
          <w:tcPr>
            <w:tcW w:w="683" w:type="dxa"/>
            <w:tcBorders>
              <w:bottom w:val="single" w:sz="12" w:space="0" w:color="auto"/>
            </w:tcBorders>
          </w:tcPr>
          <w:p w14:paraId="322A8E73" w14:textId="77777777" w:rsidR="00347587" w:rsidRDefault="00347587" w:rsidP="00BA4A2D">
            <w:pPr>
              <w:widowControl w:val="0"/>
              <w:spacing w:after="0" w:line="240" w:lineRule="auto"/>
              <w:jc w:val="center"/>
            </w:pPr>
            <w:r>
              <w:t>7</w:t>
            </w:r>
          </w:p>
        </w:tc>
        <w:tc>
          <w:tcPr>
            <w:tcW w:w="1170" w:type="dxa"/>
            <w:tcBorders>
              <w:bottom w:val="single" w:sz="12" w:space="0" w:color="auto"/>
            </w:tcBorders>
          </w:tcPr>
          <w:p w14:paraId="25A7A2B4" w14:textId="77777777" w:rsidR="00347587" w:rsidRDefault="00347587" w:rsidP="00BA4A2D">
            <w:pPr>
              <w:widowControl w:val="0"/>
              <w:spacing w:after="0" w:line="240" w:lineRule="auto"/>
              <w:jc w:val="center"/>
            </w:pPr>
            <w:r>
              <w:t>&lt;.001</w:t>
            </w:r>
          </w:p>
        </w:tc>
      </w:tr>
    </w:tbl>
    <w:p w14:paraId="469AC8F5" w14:textId="77777777" w:rsidR="002A2CFE" w:rsidRDefault="002A2CFE" w:rsidP="00BA4A2D">
      <w:pPr>
        <w:widowControl w:val="0"/>
        <w:spacing w:after="0" w:line="240" w:lineRule="auto"/>
        <w:rPr>
          <w:rFonts w:ascii="Times New Roman" w:hAnsi="Times New Roman" w:cs="Times New Roman"/>
          <w:sz w:val="24"/>
          <w:szCs w:val="24"/>
        </w:rPr>
      </w:pPr>
    </w:p>
    <w:p w14:paraId="6347BD8E" w14:textId="3DBE68EE" w:rsidR="00347587" w:rsidRDefault="00347587" w:rsidP="00AF506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w:t>
      </w:r>
      <w:r w:rsidR="005F1F95">
        <w:rPr>
          <w:rFonts w:ascii="Times New Roman" w:hAnsi="Times New Roman" w:cs="Times New Roman"/>
          <w:sz w:val="24"/>
          <w:szCs w:val="24"/>
        </w:rPr>
        <w:t>E2</w:t>
      </w:r>
    </w:p>
    <w:p w14:paraId="4CCC3FDD" w14:textId="77777777" w:rsidR="00AF506D" w:rsidRDefault="00AF506D" w:rsidP="00BA4A2D">
      <w:pPr>
        <w:widowControl w:val="0"/>
        <w:spacing w:after="0" w:line="240" w:lineRule="auto"/>
        <w:rPr>
          <w:rFonts w:ascii="Times New Roman" w:hAnsi="Times New Roman" w:cs="Times New Roman"/>
          <w:sz w:val="24"/>
          <w:szCs w:val="24"/>
        </w:rPr>
      </w:pPr>
    </w:p>
    <w:p w14:paraId="523FDFC7" w14:textId="77777777" w:rsidR="00347587" w:rsidRDefault="00347587" w:rsidP="00BA4A2D">
      <w:pPr>
        <w:widowControl w:val="0"/>
        <w:spacing w:after="0" w:line="240" w:lineRule="auto"/>
        <w:rPr>
          <w:rFonts w:ascii="Times New Roman" w:hAnsi="Times New Roman" w:cs="Times New Roman"/>
          <w:i/>
          <w:sz w:val="24"/>
          <w:szCs w:val="24"/>
        </w:rPr>
      </w:pPr>
      <w:r w:rsidRPr="00D448B9">
        <w:rPr>
          <w:rFonts w:ascii="Times New Roman" w:hAnsi="Times New Roman" w:cs="Times New Roman"/>
          <w:i/>
          <w:sz w:val="24"/>
          <w:szCs w:val="24"/>
        </w:rPr>
        <w:t>Model Summary</w:t>
      </w:r>
      <w:r>
        <w:rPr>
          <w:rFonts w:ascii="Times New Roman" w:hAnsi="Times New Roman" w:cs="Times New Roman"/>
          <w:i/>
          <w:sz w:val="24"/>
          <w:szCs w:val="24"/>
        </w:rPr>
        <w:t xml:space="preserve"> for Research Question #1</w:t>
      </w:r>
      <w:r w:rsidRPr="00D448B9">
        <w:rPr>
          <w:rFonts w:ascii="Times New Roman" w:hAnsi="Times New Roman" w:cs="Times New Roman"/>
          <w:i/>
          <w:sz w:val="24"/>
          <w:szCs w:val="24"/>
        </w:rPr>
        <w:t xml:space="preserve"> – All Cases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
      <w:tblGrid>
        <w:gridCol w:w="1697"/>
        <w:gridCol w:w="1697"/>
        <w:gridCol w:w="1697"/>
      </w:tblGrid>
      <w:tr w:rsidR="00347587" w14:paraId="0E0FF0AB" w14:textId="77777777" w:rsidTr="00BA4A2D">
        <w:trPr>
          <w:trHeight w:hRule="exact" w:val="704"/>
        </w:trPr>
        <w:tc>
          <w:tcPr>
            <w:tcW w:w="1697" w:type="dxa"/>
            <w:tcBorders>
              <w:top w:val="single" w:sz="8" w:space="0" w:color="auto"/>
              <w:bottom w:val="single" w:sz="4" w:space="0" w:color="auto"/>
            </w:tcBorders>
          </w:tcPr>
          <w:p w14:paraId="7778C469" w14:textId="77777777" w:rsidR="00347587" w:rsidRPr="00D448B9" w:rsidRDefault="00347587" w:rsidP="00BA4A2D">
            <w:pPr>
              <w:widowControl w:val="0"/>
              <w:spacing w:after="0" w:line="240" w:lineRule="auto"/>
              <w:jc w:val="center"/>
            </w:pPr>
            <w:r>
              <w:t>-2 Log likelihood</w:t>
            </w:r>
          </w:p>
        </w:tc>
        <w:tc>
          <w:tcPr>
            <w:tcW w:w="1697" w:type="dxa"/>
            <w:tcBorders>
              <w:top w:val="single" w:sz="8" w:space="0" w:color="auto"/>
              <w:bottom w:val="single" w:sz="4" w:space="0" w:color="auto"/>
            </w:tcBorders>
          </w:tcPr>
          <w:p w14:paraId="6F13D84B" w14:textId="77777777" w:rsidR="00347587" w:rsidRPr="00D448B9" w:rsidRDefault="00347587" w:rsidP="00BA4A2D">
            <w:pPr>
              <w:widowControl w:val="0"/>
              <w:spacing w:after="0" w:line="240" w:lineRule="auto"/>
              <w:jc w:val="center"/>
            </w:pPr>
            <w:r>
              <w:t>Cox &amp; Snell R Square</w:t>
            </w:r>
          </w:p>
        </w:tc>
        <w:tc>
          <w:tcPr>
            <w:tcW w:w="1697" w:type="dxa"/>
            <w:tcBorders>
              <w:top w:val="single" w:sz="8" w:space="0" w:color="auto"/>
              <w:bottom w:val="single" w:sz="4" w:space="0" w:color="auto"/>
            </w:tcBorders>
          </w:tcPr>
          <w:p w14:paraId="675DA1AA" w14:textId="77777777" w:rsidR="00347587" w:rsidRPr="00D448B9" w:rsidRDefault="00347587" w:rsidP="00BA4A2D">
            <w:pPr>
              <w:widowControl w:val="0"/>
              <w:spacing w:after="0" w:line="240" w:lineRule="auto"/>
              <w:jc w:val="center"/>
            </w:pPr>
            <w:r>
              <w:t>Nagelkerke R Square</w:t>
            </w:r>
          </w:p>
        </w:tc>
      </w:tr>
      <w:tr w:rsidR="00347587" w14:paraId="44B33C8A" w14:textId="77777777" w:rsidTr="00BA4A2D">
        <w:trPr>
          <w:trHeight w:hRule="exact" w:val="343"/>
        </w:trPr>
        <w:tc>
          <w:tcPr>
            <w:tcW w:w="1697" w:type="dxa"/>
            <w:tcBorders>
              <w:top w:val="single" w:sz="4" w:space="0" w:color="auto"/>
              <w:bottom w:val="single" w:sz="4" w:space="0" w:color="auto"/>
            </w:tcBorders>
          </w:tcPr>
          <w:p w14:paraId="149097E8" w14:textId="77777777" w:rsidR="00347587" w:rsidRDefault="00347587" w:rsidP="00BA4A2D">
            <w:pPr>
              <w:widowControl w:val="0"/>
              <w:spacing w:after="0" w:line="240" w:lineRule="auto"/>
              <w:jc w:val="center"/>
            </w:pPr>
            <w:r>
              <w:t>99.691</w:t>
            </w:r>
            <w:r w:rsidRPr="002C2B1A">
              <w:rPr>
                <w:vertAlign w:val="superscript"/>
              </w:rPr>
              <w:t>a</w:t>
            </w:r>
          </w:p>
        </w:tc>
        <w:tc>
          <w:tcPr>
            <w:tcW w:w="1697" w:type="dxa"/>
            <w:tcBorders>
              <w:top w:val="single" w:sz="4" w:space="0" w:color="auto"/>
              <w:bottom w:val="single" w:sz="4" w:space="0" w:color="auto"/>
            </w:tcBorders>
          </w:tcPr>
          <w:p w14:paraId="0A205336" w14:textId="77777777" w:rsidR="00347587" w:rsidRDefault="00347587" w:rsidP="00BA4A2D">
            <w:pPr>
              <w:widowControl w:val="0"/>
              <w:spacing w:after="0" w:line="240" w:lineRule="auto"/>
              <w:jc w:val="center"/>
            </w:pPr>
            <w:r>
              <w:t>.292</w:t>
            </w:r>
          </w:p>
        </w:tc>
        <w:tc>
          <w:tcPr>
            <w:tcW w:w="1697" w:type="dxa"/>
            <w:tcBorders>
              <w:top w:val="single" w:sz="4" w:space="0" w:color="auto"/>
              <w:bottom w:val="single" w:sz="4" w:space="0" w:color="auto"/>
            </w:tcBorders>
          </w:tcPr>
          <w:p w14:paraId="1524ED60" w14:textId="77777777" w:rsidR="00347587" w:rsidRDefault="00347587" w:rsidP="00BA4A2D">
            <w:pPr>
              <w:widowControl w:val="0"/>
              <w:spacing w:after="0" w:line="240" w:lineRule="auto"/>
              <w:jc w:val="center"/>
            </w:pPr>
            <w:r>
              <w:t>.422</w:t>
            </w:r>
          </w:p>
        </w:tc>
      </w:tr>
    </w:tbl>
    <w:p w14:paraId="2B264A9B" w14:textId="77777777" w:rsidR="00347587" w:rsidRPr="002C2B1A" w:rsidRDefault="00347587" w:rsidP="00BA4A2D">
      <w:pPr>
        <w:pStyle w:val="ListParagraph"/>
        <w:widowControl w:val="0"/>
        <w:numPr>
          <w:ilvl w:val="0"/>
          <w:numId w:val="10"/>
        </w:numPr>
        <w:rPr>
          <w:sz w:val="20"/>
          <w:szCs w:val="20"/>
        </w:rPr>
      </w:pPr>
      <w:r w:rsidRPr="002C2B1A">
        <w:rPr>
          <w:sz w:val="20"/>
          <w:szCs w:val="20"/>
        </w:rPr>
        <w:t>Estimation terminated at iteration number 6 because parameter estimates changed by less than .001.</w:t>
      </w:r>
    </w:p>
    <w:p w14:paraId="0CEA7496" w14:textId="77777777" w:rsidR="00B21464" w:rsidRDefault="00B21464" w:rsidP="00BA4A2D">
      <w:pPr>
        <w:widowControl w:val="0"/>
        <w:spacing w:after="0" w:line="240" w:lineRule="auto"/>
        <w:rPr>
          <w:rFonts w:ascii="Times New Roman" w:hAnsi="Times New Roman" w:cs="Times New Roman"/>
          <w:sz w:val="24"/>
          <w:szCs w:val="24"/>
        </w:rPr>
      </w:pPr>
    </w:p>
    <w:p w14:paraId="2E509C0C" w14:textId="32F4A6F5" w:rsidR="00347587" w:rsidRDefault="00347587" w:rsidP="00AF506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w:t>
      </w:r>
      <w:r w:rsidR="005F1F95">
        <w:rPr>
          <w:rFonts w:ascii="Times New Roman" w:hAnsi="Times New Roman" w:cs="Times New Roman"/>
          <w:sz w:val="24"/>
          <w:szCs w:val="24"/>
        </w:rPr>
        <w:t>E3</w:t>
      </w:r>
    </w:p>
    <w:p w14:paraId="6EB5CAD6" w14:textId="77777777" w:rsidR="00AF506D" w:rsidRDefault="00AF506D" w:rsidP="00BA4A2D">
      <w:pPr>
        <w:widowControl w:val="0"/>
        <w:spacing w:after="0" w:line="240" w:lineRule="auto"/>
        <w:rPr>
          <w:rFonts w:ascii="Times New Roman" w:hAnsi="Times New Roman" w:cs="Times New Roman"/>
          <w:sz w:val="24"/>
          <w:szCs w:val="24"/>
        </w:rPr>
      </w:pPr>
    </w:p>
    <w:p w14:paraId="657F3E1E" w14:textId="61C3BBF8" w:rsidR="00347587" w:rsidRPr="002C2B1A" w:rsidRDefault="006B0EB7" w:rsidP="00BA4A2D">
      <w:pPr>
        <w:widowControl w:val="0"/>
        <w:spacing w:after="0" w:line="240" w:lineRule="auto"/>
        <w:rPr>
          <w:rFonts w:ascii="Times New Roman" w:hAnsi="Times New Roman" w:cs="Times New Roman"/>
          <w:i/>
          <w:sz w:val="24"/>
          <w:szCs w:val="24"/>
        </w:rPr>
      </w:pPr>
      <w:r w:rsidRPr="002C2B1A">
        <w:rPr>
          <w:rFonts w:ascii="Times New Roman" w:hAnsi="Times New Roman" w:cs="Times New Roman"/>
          <w:i/>
          <w:sz w:val="24"/>
          <w:szCs w:val="24"/>
        </w:rPr>
        <w:t>Classification</w:t>
      </w:r>
      <w:r w:rsidR="00347587" w:rsidRPr="002C2B1A">
        <w:rPr>
          <w:rFonts w:ascii="Times New Roman" w:hAnsi="Times New Roman" w:cs="Times New Roman"/>
          <w:i/>
          <w:sz w:val="24"/>
          <w:szCs w:val="24"/>
        </w:rPr>
        <w:t xml:space="preserve"> Table</w:t>
      </w:r>
      <w:r w:rsidR="00347587">
        <w:rPr>
          <w:rFonts w:ascii="Times New Roman" w:hAnsi="Times New Roman" w:cs="Times New Roman"/>
          <w:i/>
          <w:sz w:val="24"/>
          <w:szCs w:val="24"/>
        </w:rPr>
        <w:t xml:space="preserve"> for Research Question #1</w:t>
      </w:r>
      <w:r w:rsidR="00347587" w:rsidRPr="002C2B1A">
        <w:rPr>
          <w:rFonts w:ascii="Times New Roman" w:hAnsi="Times New Roman" w:cs="Times New Roman"/>
          <w:i/>
          <w:sz w:val="24"/>
          <w:szCs w:val="24"/>
        </w:rPr>
        <w:t xml:space="preserve"> – All </w:t>
      </w:r>
      <w:r w:rsidRPr="002C2B1A">
        <w:rPr>
          <w:rFonts w:ascii="Times New Roman" w:hAnsi="Times New Roman" w:cs="Times New Roman"/>
          <w:i/>
          <w:sz w:val="24"/>
          <w:szCs w:val="24"/>
        </w:rPr>
        <w:t>Cases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
      <w:tblGrid>
        <w:gridCol w:w="1555"/>
        <w:gridCol w:w="875"/>
        <w:gridCol w:w="1490"/>
        <w:gridCol w:w="760"/>
        <w:gridCol w:w="2160"/>
      </w:tblGrid>
      <w:tr w:rsidR="00347587" w14:paraId="6ED77871" w14:textId="77777777" w:rsidTr="00BA4A2D">
        <w:trPr>
          <w:trHeight w:hRule="exact" w:val="290"/>
        </w:trPr>
        <w:tc>
          <w:tcPr>
            <w:tcW w:w="1555" w:type="dxa"/>
            <w:tcBorders>
              <w:top w:val="single" w:sz="8" w:space="0" w:color="auto"/>
            </w:tcBorders>
            <w:vAlign w:val="center"/>
          </w:tcPr>
          <w:p w14:paraId="5D7EE2DB" w14:textId="77777777" w:rsidR="00347587" w:rsidRPr="00860722" w:rsidRDefault="00347587" w:rsidP="00BA4A2D">
            <w:pPr>
              <w:widowControl w:val="0"/>
              <w:spacing w:after="0" w:line="240" w:lineRule="auto"/>
              <w:jc w:val="center"/>
            </w:pPr>
          </w:p>
        </w:tc>
        <w:tc>
          <w:tcPr>
            <w:tcW w:w="875" w:type="dxa"/>
            <w:tcBorders>
              <w:top w:val="single" w:sz="8" w:space="0" w:color="auto"/>
            </w:tcBorders>
            <w:vAlign w:val="center"/>
          </w:tcPr>
          <w:p w14:paraId="67D1E338" w14:textId="77777777" w:rsidR="00347587" w:rsidRPr="007E2F5D" w:rsidRDefault="00347587" w:rsidP="00BA4A2D">
            <w:pPr>
              <w:widowControl w:val="0"/>
              <w:spacing w:after="0" w:line="240" w:lineRule="auto"/>
              <w:jc w:val="center"/>
              <w:rPr>
                <w:i/>
              </w:rPr>
            </w:pPr>
          </w:p>
        </w:tc>
        <w:tc>
          <w:tcPr>
            <w:tcW w:w="4410" w:type="dxa"/>
            <w:gridSpan w:val="3"/>
            <w:tcBorders>
              <w:top w:val="single" w:sz="8" w:space="0" w:color="auto"/>
            </w:tcBorders>
            <w:vAlign w:val="center"/>
          </w:tcPr>
          <w:p w14:paraId="7A06B840" w14:textId="77777777" w:rsidR="00347587" w:rsidRPr="005033A9" w:rsidRDefault="00347587" w:rsidP="00BA4A2D">
            <w:pPr>
              <w:widowControl w:val="0"/>
              <w:spacing w:after="0" w:line="240" w:lineRule="auto"/>
              <w:jc w:val="center"/>
            </w:pPr>
            <w:r>
              <w:t>Predicted</w:t>
            </w:r>
          </w:p>
        </w:tc>
      </w:tr>
      <w:tr w:rsidR="00347587" w14:paraId="5F5BD7BD" w14:textId="77777777" w:rsidTr="00BA4A2D">
        <w:trPr>
          <w:trHeight w:hRule="exact" w:val="252"/>
        </w:trPr>
        <w:tc>
          <w:tcPr>
            <w:tcW w:w="1555" w:type="dxa"/>
            <w:vAlign w:val="center"/>
          </w:tcPr>
          <w:p w14:paraId="5B34775E" w14:textId="77777777" w:rsidR="00347587" w:rsidRDefault="00347587" w:rsidP="00BA4A2D">
            <w:pPr>
              <w:widowControl w:val="0"/>
              <w:spacing w:after="0" w:line="240" w:lineRule="auto"/>
              <w:jc w:val="center"/>
              <w:rPr>
                <w:i/>
              </w:rPr>
            </w:pPr>
          </w:p>
        </w:tc>
        <w:tc>
          <w:tcPr>
            <w:tcW w:w="875" w:type="dxa"/>
            <w:vAlign w:val="center"/>
          </w:tcPr>
          <w:p w14:paraId="06D435C8" w14:textId="77777777" w:rsidR="00347587" w:rsidRDefault="00347587" w:rsidP="00BA4A2D">
            <w:pPr>
              <w:widowControl w:val="0"/>
              <w:spacing w:after="0" w:line="240" w:lineRule="auto"/>
              <w:jc w:val="center"/>
              <w:rPr>
                <w:i/>
              </w:rPr>
            </w:pPr>
          </w:p>
        </w:tc>
        <w:tc>
          <w:tcPr>
            <w:tcW w:w="2250" w:type="dxa"/>
            <w:gridSpan w:val="2"/>
          </w:tcPr>
          <w:p w14:paraId="161FEAF6" w14:textId="4A3114BF" w:rsidR="00347587" w:rsidRPr="005033A9" w:rsidRDefault="00347587" w:rsidP="00BA4A2D">
            <w:pPr>
              <w:widowControl w:val="0"/>
              <w:spacing w:after="0" w:line="240" w:lineRule="auto"/>
              <w:jc w:val="center"/>
            </w:pPr>
            <w:r>
              <w:t>ENRD</w:t>
            </w:r>
          </w:p>
        </w:tc>
        <w:tc>
          <w:tcPr>
            <w:tcW w:w="2160" w:type="dxa"/>
          </w:tcPr>
          <w:p w14:paraId="6185A6C6" w14:textId="77777777" w:rsidR="00347587" w:rsidRDefault="00347587" w:rsidP="00BA4A2D">
            <w:pPr>
              <w:widowControl w:val="0"/>
              <w:spacing w:after="0" w:line="240" w:lineRule="auto"/>
              <w:jc w:val="center"/>
              <w:rPr>
                <w:i/>
              </w:rPr>
            </w:pPr>
          </w:p>
        </w:tc>
      </w:tr>
      <w:tr w:rsidR="00347587" w14:paraId="147F8EAC" w14:textId="77777777" w:rsidTr="00BA4A2D">
        <w:trPr>
          <w:trHeight w:hRule="exact" w:val="315"/>
        </w:trPr>
        <w:tc>
          <w:tcPr>
            <w:tcW w:w="1555" w:type="dxa"/>
            <w:tcBorders>
              <w:bottom w:val="single" w:sz="4" w:space="0" w:color="auto"/>
            </w:tcBorders>
          </w:tcPr>
          <w:p w14:paraId="61705762" w14:textId="77777777" w:rsidR="00347587" w:rsidRPr="005033A9" w:rsidRDefault="00347587" w:rsidP="00BA4A2D">
            <w:pPr>
              <w:widowControl w:val="0"/>
              <w:spacing w:after="0" w:line="240" w:lineRule="auto"/>
              <w:jc w:val="center"/>
            </w:pPr>
            <w:r>
              <w:t>Observed</w:t>
            </w:r>
          </w:p>
        </w:tc>
        <w:tc>
          <w:tcPr>
            <w:tcW w:w="875" w:type="dxa"/>
            <w:tcBorders>
              <w:bottom w:val="single" w:sz="4" w:space="0" w:color="auto"/>
            </w:tcBorders>
          </w:tcPr>
          <w:p w14:paraId="2DD52FC2" w14:textId="77777777" w:rsidR="00347587" w:rsidRPr="00860722" w:rsidRDefault="00347587" w:rsidP="00BA4A2D">
            <w:pPr>
              <w:widowControl w:val="0"/>
              <w:spacing w:after="0" w:line="240" w:lineRule="auto"/>
              <w:jc w:val="center"/>
              <w:rPr>
                <w:i/>
              </w:rPr>
            </w:pPr>
          </w:p>
        </w:tc>
        <w:tc>
          <w:tcPr>
            <w:tcW w:w="1490" w:type="dxa"/>
            <w:tcBorders>
              <w:bottom w:val="single" w:sz="4" w:space="0" w:color="auto"/>
            </w:tcBorders>
          </w:tcPr>
          <w:p w14:paraId="6695E131" w14:textId="77777777" w:rsidR="00347587" w:rsidRPr="005033A9" w:rsidRDefault="00347587" w:rsidP="00BA4A2D">
            <w:pPr>
              <w:widowControl w:val="0"/>
              <w:spacing w:after="0" w:line="240" w:lineRule="auto"/>
              <w:jc w:val="center"/>
            </w:pPr>
            <w:r w:rsidRPr="005033A9">
              <w:t>0</w:t>
            </w:r>
          </w:p>
        </w:tc>
        <w:tc>
          <w:tcPr>
            <w:tcW w:w="760" w:type="dxa"/>
            <w:tcBorders>
              <w:bottom w:val="single" w:sz="4" w:space="0" w:color="auto"/>
            </w:tcBorders>
          </w:tcPr>
          <w:p w14:paraId="1EED0C17" w14:textId="51354898" w:rsidR="00347587" w:rsidRPr="005033A9" w:rsidRDefault="00347587" w:rsidP="00BA4A2D">
            <w:pPr>
              <w:widowControl w:val="0"/>
              <w:spacing w:after="0" w:line="240" w:lineRule="auto"/>
              <w:jc w:val="center"/>
            </w:pPr>
            <w:r w:rsidRPr="005033A9">
              <w:t>1</w:t>
            </w:r>
          </w:p>
        </w:tc>
        <w:tc>
          <w:tcPr>
            <w:tcW w:w="2160" w:type="dxa"/>
            <w:tcBorders>
              <w:bottom w:val="single" w:sz="4" w:space="0" w:color="auto"/>
            </w:tcBorders>
          </w:tcPr>
          <w:p w14:paraId="06F5886E" w14:textId="77777777" w:rsidR="00347587" w:rsidRPr="005033A9" w:rsidRDefault="00347587" w:rsidP="00BA4A2D">
            <w:pPr>
              <w:widowControl w:val="0"/>
              <w:spacing w:after="0" w:line="240" w:lineRule="auto"/>
              <w:jc w:val="center"/>
            </w:pPr>
            <w:r>
              <w:t>Percentage Correct</w:t>
            </w:r>
          </w:p>
        </w:tc>
      </w:tr>
      <w:tr w:rsidR="00347587" w14:paraId="040DBFDB" w14:textId="77777777" w:rsidTr="00BA4A2D">
        <w:trPr>
          <w:trHeight w:hRule="exact" w:val="325"/>
        </w:trPr>
        <w:tc>
          <w:tcPr>
            <w:tcW w:w="1555" w:type="dxa"/>
            <w:tcBorders>
              <w:top w:val="single" w:sz="4" w:space="0" w:color="auto"/>
            </w:tcBorders>
          </w:tcPr>
          <w:p w14:paraId="7C91247D" w14:textId="77777777" w:rsidR="00347587" w:rsidRDefault="00347587" w:rsidP="00BA4A2D">
            <w:pPr>
              <w:widowControl w:val="0"/>
              <w:spacing w:after="0" w:line="240" w:lineRule="auto"/>
              <w:jc w:val="center"/>
            </w:pPr>
            <w:r>
              <w:t>ENRD</w:t>
            </w:r>
          </w:p>
        </w:tc>
        <w:tc>
          <w:tcPr>
            <w:tcW w:w="875" w:type="dxa"/>
            <w:tcBorders>
              <w:top w:val="single" w:sz="4" w:space="0" w:color="auto"/>
            </w:tcBorders>
          </w:tcPr>
          <w:p w14:paraId="6731BE9A" w14:textId="77777777" w:rsidR="00347587" w:rsidRDefault="00347587" w:rsidP="00BA4A2D">
            <w:pPr>
              <w:widowControl w:val="0"/>
              <w:spacing w:after="0" w:line="240" w:lineRule="auto"/>
              <w:jc w:val="center"/>
            </w:pPr>
            <w:r>
              <w:t>0</w:t>
            </w:r>
          </w:p>
        </w:tc>
        <w:tc>
          <w:tcPr>
            <w:tcW w:w="1490" w:type="dxa"/>
            <w:tcBorders>
              <w:top w:val="single" w:sz="4" w:space="0" w:color="auto"/>
            </w:tcBorders>
          </w:tcPr>
          <w:p w14:paraId="7A6A0910" w14:textId="77777777" w:rsidR="00347587" w:rsidRDefault="00347587" w:rsidP="00BA4A2D">
            <w:pPr>
              <w:widowControl w:val="0"/>
              <w:spacing w:after="0" w:line="240" w:lineRule="auto"/>
              <w:jc w:val="center"/>
            </w:pPr>
            <w:r>
              <w:t>80</w:t>
            </w:r>
          </w:p>
        </w:tc>
        <w:tc>
          <w:tcPr>
            <w:tcW w:w="760" w:type="dxa"/>
            <w:tcBorders>
              <w:top w:val="single" w:sz="4" w:space="0" w:color="auto"/>
            </w:tcBorders>
          </w:tcPr>
          <w:p w14:paraId="50EA92F6" w14:textId="77777777" w:rsidR="00347587" w:rsidRDefault="00347587" w:rsidP="00BA4A2D">
            <w:pPr>
              <w:widowControl w:val="0"/>
              <w:spacing w:after="0" w:line="240" w:lineRule="auto"/>
              <w:jc w:val="center"/>
            </w:pPr>
            <w:r>
              <w:t>7</w:t>
            </w:r>
          </w:p>
        </w:tc>
        <w:tc>
          <w:tcPr>
            <w:tcW w:w="2160" w:type="dxa"/>
            <w:tcBorders>
              <w:top w:val="single" w:sz="4" w:space="0" w:color="auto"/>
            </w:tcBorders>
          </w:tcPr>
          <w:p w14:paraId="5214D3CA" w14:textId="77777777" w:rsidR="00347587" w:rsidRDefault="00347587" w:rsidP="00BA4A2D">
            <w:pPr>
              <w:widowControl w:val="0"/>
              <w:spacing w:after="0" w:line="240" w:lineRule="auto"/>
              <w:jc w:val="center"/>
            </w:pPr>
            <w:r>
              <w:t>92.0</w:t>
            </w:r>
          </w:p>
        </w:tc>
      </w:tr>
      <w:tr w:rsidR="00347587" w14:paraId="4BF2E6AF" w14:textId="77777777" w:rsidTr="00BA4A2D">
        <w:trPr>
          <w:trHeight w:hRule="exact" w:val="342"/>
        </w:trPr>
        <w:tc>
          <w:tcPr>
            <w:tcW w:w="1555" w:type="dxa"/>
          </w:tcPr>
          <w:p w14:paraId="1E85F560" w14:textId="77777777" w:rsidR="00347587" w:rsidRDefault="00347587" w:rsidP="00BA4A2D">
            <w:pPr>
              <w:widowControl w:val="0"/>
              <w:spacing w:after="0" w:line="240" w:lineRule="auto"/>
              <w:jc w:val="center"/>
            </w:pPr>
          </w:p>
        </w:tc>
        <w:tc>
          <w:tcPr>
            <w:tcW w:w="875" w:type="dxa"/>
          </w:tcPr>
          <w:p w14:paraId="14231BED" w14:textId="77777777" w:rsidR="00347587" w:rsidRDefault="00347587" w:rsidP="00BA4A2D">
            <w:pPr>
              <w:widowControl w:val="0"/>
              <w:spacing w:after="0" w:line="240" w:lineRule="auto"/>
              <w:jc w:val="center"/>
            </w:pPr>
            <w:r>
              <w:t>1</w:t>
            </w:r>
          </w:p>
        </w:tc>
        <w:tc>
          <w:tcPr>
            <w:tcW w:w="1490" w:type="dxa"/>
          </w:tcPr>
          <w:p w14:paraId="21F3017B" w14:textId="77777777" w:rsidR="00347587" w:rsidRDefault="00347587" w:rsidP="00BA4A2D">
            <w:pPr>
              <w:widowControl w:val="0"/>
              <w:spacing w:after="0" w:line="240" w:lineRule="auto"/>
              <w:jc w:val="center"/>
            </w:pPr>
            <w:r>
              <w:t>18</w:t>
            </w:r>
          </w:p>
        </w:tc>
        <w:tc>
          <w:tcPr>
            <w:tcW w:w="760" w:type="dxa"/>
          </w:tcPr>
          <w:p w14:paraId="028C8FDF" w14:textId="77777777" w:rsidR="00347587" w:rsidRDefault="00347587" w:rsidP="00BA4A2D">
            <w:pPr>
              <w:widowControl w:val="0"/>
              <w:spacing w:after="0" w:line="240" w:lineRule="auto"/>
              <w:jc w:val="center"/>
            </w:pPr>
            <w:r>
              <w:t>15</w:t>
            </w:r>
          </w:p>
        </w:tc>
        <w:tc>
          <w:tcPr>
            <w:tcW w:w="2160" w:type="dxa"/>
          </w:tcPr>
          <w:p w14:paraId="65781CBA" w14:textId="77777777" w:rsidR="00347587" w:rsidRDefault="00347587" w:rsidP="00BA4A2D">
            <w:pPr>
              <w:widowControl w:val="0"/>
              <w:spacing w:after="0" w:line="240" w:lineRule="auto"/>
              <w:jc w:val="center"/>
            </w:pPr>
            <w:r>
              <w:t>45.5</w:t>
            </w:r>
          </w:p>
        </w:tc>
      </w:tr>
      <w:tr w:rsidR="00347587" w14:paraId="65BE2AE7" w14:textId="77777777" w:rsidTr="00BA4A2D">
        <w:trPr>
          <w:trHeight w:hRule="exact" w:val="360"/>
        </w:trPr>
        <w:tc>
          <w:tcPr>
            <w:tcW w:w="2430" w:type="dxa"/>
            <w:gridSpan w:val="2"/>
            <w:tcBorders>
              <w:bottom w:val="single" w:sz="4" w:space="0" w:color="auto"/>
            </w:tcBorders>
          </w:tcPr>
          <w:p w14:paraId="4088B39F" w14:textId="77777777" w:rsidR="00347587" w:rsidRDefault="00347587" w:rsidP="00BA4A2D">
            <w:pPr>
              <w:widowControl w:val="0"/>
              <w:spacing w:after="0" w:line="240" w:lineRule="auto"/>
              <w:jc w:val="center"/>
            </w:pPr>
            <w:r>
              <w:t>Overall Percentage</w:t>
            </w:r>
          </w:p>
        </w:tc>
        <w:tc>
          <w:tcPr>
            <w:tcW w:w="1490" w:type="dxa"/>
            <w:tcBorders>
              <w:bottom w:val="single" w:sz="4" w:space="0" w:color="auto"/>
            </w:tcBorders>
          </w:tcPr>
          <w:p w14:paraId="575FB1C1" w14:textId="77777777" w:rsidR="00347587" w:rsidRDefault="00347587" w:rsidP="00BA4A2D">
            <w:pPr>
              <w:widowControl w:val="0"/>
              <w:spacing w:after="0" w:line="240" w:lineRule="auto"/>
              <w:jc w:val="center"/>
            </w:pPr>
          </w:p>
        </w:tc>
        <w:tc>
          <w:tcPr>
            <w:tcW w:w="760" w:type="dxa"/>
            <w:tcBorders>
              <w:bottom w:val="single" w:sz="4" w:space="0" w:color="auto"/>
            </w:tcBorders>
          </w:tcPr>
          <w:p w14:paraId="0D330E89" w14:textId="77777777" w:rsidR="00347587" w:rsidRDefault="00347587" w:rsidP="00BA4A2D">
            <w:pPr>
              <w:widowControl w:val="0"/>
              <w:spacing w:after="0" w:line="240" w:lineRule="auto"/>
              <w:jc w:val="center"/>
            </w:pPr>
          </w:p>
        </w:tc>
        <w:tc>
          <w:tcPr>
            <w:tcW w:w="2160" w:type="dxa"/>
            <w:tcBorders>
              <w:bottom w:val="single" w:sz="4" w:space="0" w:color="auto"/>
            </w:tcBorders>
          </w:tcPr>
          <w:p w14:paraId="7AC153F0" w14:textId="77777777" w:rsidR="00347587" w:rsidRDefault="00347587" w:rsidP="00BA4A2D">
            <w:pPr>
              <w:widowControl w:val="0"/>
              <w:spacing w:after="0" w:line="240" w:lineRule="auto"/>
              <w:jc w:val="center"/>
            </w:pPr>
            <w:r>
              <w:t>79.2</w:t>
            </w:r>
          </w:p>
        </w:tc>
      </w:tr>
    </w:tbl>
    <w:p w14:paraId="644AB9D5" w14:textId="77777777" w:rsidR="00B21464" w:rsidRDefault="00347587" w:rsidP="00BA4A2D">
      <w:pPr>
        <w:pStyle w:val="ListParagraph"/>
        <w:widowControl w:val="0"/>
        <w:numPr>
          <w:ilvl w:val="0"/>
          <w:numId w:val="11"/>
        </w:numPr>
        <w:rPr>
          <w:sz w:val="20"/>
          <w:szCs w:val="20"/>
        </w:rPr>
      </w:pPr>
      <w:r w:rsidRPr="00EB2B4A">
        <w:rPr>
          <w:sz w:val="20"/>
          <w:szCs w:val="20"/>
        </w:rPr>
        <w:t>The cut value is .500</w:t>
      </w:r>
    </w:p>
    <w:p w14:paraId="0DAD1A67" w14:textId="0EE8AD24" w:rsidR="00AB5463" w:rsidRPr="00DC3B78" w:rsidRDefault="00B21464" w:rsidP="00BA4A2D">
      <w:pPr>
        <w:pStyle w:val="ListParagraph"/>
        <w:widowControl w:val="0"/>
        <w:ind w:left="1080"/>
        <w:rPr>
          <w:sz w:val="20"/>
          <w:szCs w:val="20"/>
        </w:rPr>
      </w:pPr>
      <w:r>
        <w:rPr>
          <w:sz w:val="20"/>
          <w:szCs w:val="20"/>
        </w:rPr>
        <w:t xml:space="preserve"> </w:t>
      </w:r>
      <w:r w:rsidR="00AB5463" w:rsidRPr="00DC3B78">
        <w:rPr>
          <w:sz w:val="20"/>
          <w:szCs w:val="20"/>
        </w:rPr>
        <w:t>ENRD = Enrollment Decision and was coded 1 = did enrol in a second year of physics and 0 = did not enrol in a second hear of physics.</w:t>
      </w:r>
    </w:p>
    <w:p w14:paraId="0F3C6042" w14:textId="3783C227" w:rsidR="00587D4D" w:rsidRDefault="00587D4D" w:rsidP="00BA4A2D">
      <w:pPr>
        <w:pStyle w:val="Heading1"/>
        <w:jc w:val="center"/>
        <w:rPr>
          <w:shd w:val="clear" w:color="auto" w:fill="FFFFFF"/>
        </w:rPr>
      </w:pPr>
      <w:r>
        <w:rPr>
          <w:shd w:val="clear" w:color="auto" w:fill="FFFFFF"/>
        </w:rPr>
        <w:br w:type="page"/>
      </w:r>
      <w:bookmarkStart w:id="73" w:name="_Toc117501945"/>
      <w:r>
        <w:rPr>
          <w:shd w:val="clear" w:color="auto" w:fill="FFFFFF"/>
        </w:rPr>
        <w:lastRenderedPageBreak/>
        <w:t>Appendix F</w:t>
      </w:r>
      <w:bookmarkEnd w:id="73"/>
    </w:p>
    <w:p w14:paraId="1A457A14" w14:textId="0F46E498" w:rsidR="00587D4D" w:rsidRDefault="00587D4D" w:rsidP="00BA4A2D">
      <w:pPr>
        <w:widowControl w:val="0"/>
        <w:spacing w:after="0"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Model </w:t>
      </w:r>
      <w:r w:rsidR="009B0B62">
        <w:rPr>
          <w:rFonts w:ascii="Times New Roman" w:hAnsi="Times New Roman" w:cs="Times New Roman"/>
          <w:color w:val="000000"/>
          <w:sz w:val="24"/>
          <w:szCs w:val="24"/>
          <w:shd w:val="clear" w:color="auto" w:fill="FFFFFF"/>
        </w:rPr>
        <w:t xml:space="preserve">Two </w:t>
      </w:r>
      <w:r>
        <w:rPr>
          <w:rFonts w:ascii="Times New Roman" w:hAnsi="Times New Roman" w:cs="Times New Roman"/>
          <w:color w:val="000000"/>
          <w:sz w:val="24"/>
          <w:szCs w:val="24"/>
          <w:shd w:val="clear" w:color="auto" w:fill="FFFFFF"/>
        </w:rPr>
        <w:t xml:space="preserve">Fit and </w:t>
      </w:r>
      <w:r w:rsidR="006B0EB7">
        <w:rPr>
          <w:rFonts w:ascii="Times New Roman" w:hAnsi="Times New Roman" w:cs="Times New Roman"/>
          <w:color w:val="000000"/>
          <w:sz w:val="24"/>
          <w:szCs w:val="24"/>
          <w:shd w:val="clear" w:color="auto" w:fill="FFFFFF"/>
        </w:rPr>
        <w:t>Significance</w:t>
      </w:r>
    </w:p>
    <w:p w14:paraId="2BF62BBE" w14:textId="1A30D051" w:rsidR="002A2CFE" w:rsidRDefault="002A2CFE" w:rsidP="00AF506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Table F1</w:t>
      </w:r>
    </w:p>
    <w:p w14:paraId="5DB461CE" w14:textId="77777777" w:rsidR="00A113D5" w:rsidRDefault="00A113D5" w:rsidP="00BA4A2D">
      <w:pPr>
        <w:widowControl w:val="0"/>
        <w:spacing w:after="0" w:line="240" w:lineRule="auto"/>
        <w:rPr>
          <w:rFonts w:ascii="Times New Roman" w:hAnsi="Times New Roman" w:cs="Times New Roman"/>
          <w:sz w:val="24"/>
          <w:szCs w:val="24"/>
        </w:rPr>
      </w:pPr>
    </w:p>
    <w:p w14:paraId="1DF8DB76" w14:textId="3E6226BC" w:rsidR="002A2CFE" w:rsidRPr="002407A6" w:rsidRDefault="002A2CFE" w:rsidP="00BA4A2D">
      <w:pPr>
        <w:widowControl w:val="0"/>
        <w:spacing w:after="0" w:line="240" w:lineRule="auto"/>
        <w:rPr>
          <w:rFonts w:ascii="Times New Roman" w:hAnsi="Times New Roman" w:cs="Times New Roman"/>
          <w:i/>
          <w:sz w:val="24"/>
          <w:szCs w:val="24"/>
        </w:rPr>
      </w:pPr>
      <w:r w:rsidRPr="00D448B9">
        <w:rPr>
          <w:rFonts w:ascii="Times New Roman" w:hAnsi="Times New Roman" w:cs="Times New Roman"/>
          <w:i/>
          <w:sz w:val="24"/>
          <w:szCs w:val="24"/>
        </w:rPr>
        <w:t>Omnibus Tests of Model Coefficients</w:t>
      </w:r>
      <w:r w:rsidR="00DA6453">
        <w:rPr>
          <w:rFonts w:ascii="Times New Roman" w:hAnsi="Times New Roman" w:cs="Times New Roman"/>
          <w:i/>
          <w:sz w:val="24"/>
          <w:szCs w:val="24"/>
        </w:rPr>
        <w:t xml:space="preserve"> for Research Question #2</w:t>
      </w:r>
      <w:r w:rsidRPr="00D448B9">
        <w:rPr>
          <w:rFonts w:ascii="Times New Roman" w:hAnsi="Times New Roman" w:cs="Times New Roman"/>
          <w:i/>
          <w:sz w:val="24"/>
          <w:szCs w:val="24"/>
        </w:rPr>
        <w:t xml:space="preserve"> –</w:t>
      </w:r>
      <w:r>
        <w:rPr>
          <w:rFonts w:ascii="Times New Roman" w:hAnsi="Times New Roman" w:cs="Times New Roman"/>
          <w:i/>
          <w:sz w:val="24"/>
          <w:szCs w:val="24"/>
        </w:rPr>
        <w:t xml:space="preserve"> Men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
      <w:tblGrid>
        <w:gridCol w:w="860"/>
        <w:gridCol w:w="1697"/>
        <w:gridCol w:w="863"/>
        <w:gridCol w:w="1260"/>
      </w:tblGrid>
      <w:tr w:rsidR="002A2CFE" w14:paraId="3CC4D95C" w14:textId="77777777" w:rsidTr="00BA4A2D">
        <w:trPr>
          <w:trHeight w:hRule="exact" w:val="344"/>
        </w:trPr>
        <w:tc>
          <w:tcPr>
            <w:tcW w:w="860" w:type="dxa"/>
            <w:tcBorders>
              <w:top w:val="single" w:sz="8" w:space="0" w:color="auto"/>
              <w:bottom w:val="single" w:sz="4" w:space="0" w:color="auto"/>
            </w:tcBorders>
            <w:vAlign w:val="center"/>
          </w:tcPr>
          <w:p w14:paraId="6F08039F" w14:textId="77777777" w:rsidR="002A2CFE" w:rsidRPr="00860722" w:rsidRDefault="002A2CFE" w:rsidP="00BA4A2D">
            <w:pPr>
              <w:widowControl w:val="0"/>
              <w:spacing w:after="0" w:line="240" w:lineRule="auto"/>
              <w:jc w:val="center"/>
              <w:rPr>
                <w:i/>
              </w:rPr>
            </w:pPr>
          </w:p>
        </w:tc>
        <w:tc>
          <w:tcPr>
            <w:tcW w:w="1697" w:type="dxa"/>
            <w:tcBorders>
              <w:top w:val="single" w:sz="8" w:space="0" w:color="auto"/>
              <w:bottom w:val="single" w:sz="4" w:space="0" w:color="auto"/>
            </w:tcBorders>
          </w:tcPr>
          <w:p w14:paraId="217FEF16" w14:textId="77777777" w:rsidR="002A2CFE" w:rsidRPr="00D448B9" w:rsidRDefault="002A2CFE" w:rsidP="00BA4A2D">
            <w:pPr>
              <w:widowControl w:val="0"/>
              <w:spacing w:after="0" w:line="240" w:lineRule="auto"/>
              <w:jc w:val="center"/>
            </w:pPr>
            <w:r>
              <w:t>Chi-Square</w:t>
            </w:r>
          </w:p>
        </w:tc>
        <w:tc>
          <w:tcPr>
            <w:tcW w:w="863" w:type="dxa"/>
            <w:tcBorders>
              <w:top w:val="single" w:sz="8" w:space="0" w:color="auto"/>
              <w:bottom w:val="single" w:sz="4" w:space="0" w:color="auto"/>
            </w:tcBorders>
          </w:tcPr>
          <w:p w14:paraId="4403F070" w14:textId="77777777" w:rsidR="002A2CFE" w:rsidRPr="00D448B9" w:rsidRDefault="002A2CFE" w:rsidP="00BA4A2D">
            <w:pPr>
              <w:widowControl w:val="0"/>
              <w:spacing w:after="0" w:line="240" w:lineRule="auto"/>
              <w:jc w:val="center"/>
            </w:pPr>
            <w:r>
              <w:t>df</w:t>
            </w:r>
          </w:p>
        </w:tc>
        <w:tc>
          <w:tcPr>
            <w:tcW w:w="1260" w:type="dxa"/>
            <w:tcBorders>
              <w:top w:val="single" w:sz="8" w:space="0" w:color="auto"/>
              <w:bottom w:val="single" w:sz="4" w:space="0" w:color="auto"/>
            </w:tcBorders>
          </w:tcPr>
          <w:p w14:paraId="662BE389" w14:textId="77777777" w:rsidR="002A2CFE" w:rsidRPr="00D448B9" w:rsidRDefault="002A2CFE" w:rsidP="00BA4A2D">
            <w:pPr>
              <w:widowControl w:val="0"/>
              <w:spacing w:after="0" w:line="240" w:lineRule="auto"/>
              <w:jc w:val="center"/>
            </w:pPr>
            <w:r>
              <w:t>Sig.</w:t>
            </w:r>
          </w:p>
        </w:tc>
      </w:tr>
      <w:tr w:rsidR="002A2CFE" w14:paraId="58B1AA7D" w14:textId="77777777" w:rsidTr="00BA4A2D">
        <w:trPr>
          <w:trHeight w:hRule="exact" w:val="253"/>
        </w:trPr>
        <w:tc>
          <w:tcPr>
            <w:tcW w:w="860" w:type="dxa"/>
            <w:tcBorders>
              <w:top w:val="single" w:sz="4" w:space="0" w:color="auto"/>
            </w:tcBorders>
            <w:vAlign w:val="center"/>
          </w:tcPr>
          <w:p w14:paraId="66D3690C" w14:textId="77777777" w:rsidR="002A2CFE" w:rsidRDefault="002A2CFE" w:rsidP="00BA4A2D">
            <w:pPr>
              <w:widowControl w:val="0"/>
              <w:spacing w:after="0" w:line="240" w:lineRule="auto"/>
              <w:jc w:val="center"/>
            </w:pPr>
            <w:r>
              <w:t xml:space="preserve">Step </w:t>
            </w:r>
          </w:p>
        </w:tc>
        <w:tc>
          <w:tcPr>
            <w:tcW w:w="1697" w:type="dxa"/>
            <w:tcBorders>
              <w:top w:val="single" w:sz="4" w:space="0" w:color="auto"/>
            </w:tcBorders>
          </w:tcPr>
          <w:p w14:paraId="5771EE44" w14:textId="77777777" w:rsidR="002A2CFE" w:rsidRDefault="002A2CFE" w:rsidP="00BA4A2D">
            <w:pPr>
              <w:widowControl w:val="0"/>
              <w:spacing w:after="0" w:line="240" w:lineRule="auto"/>
              <w:jc w:val="center"/>
            </w:pPr>
            <w:r>
              <w:t>17.143</w:t>
            </w:r>
          </w:p>
        </w:tc>
        <w:tc>
          <w:tcPr>
            <w:tcW w:w="863" w:type="dxa"/>
            <w:tcBorders>
              <w:top w:val="single" w:sz="4" w:space="0" w:color="auto"/>
            </w:tcBorders>
          </w:tcPr>
          <w:p w14:paraId="48CE78AD" w14:textId="77777777" w:rsidR="002A2CFE" w:rsidRDefault="002A2CFE" w:rsidP="00BA4A2D">
            <w:pPr>
              <w:widowControl w:val="0"/>
              <w:spacing w:after="0" w:line="240" w:lineRule="auto"/>
              <w:jc w:val="center"/>
            </w:pPr>
            <w:r>
              <w:t>6</w:t>
            </w:r>
          </w:p>
        </w:tc>
        <w:tc>
          <w:tcPr>
            <w:tcW w:w="1260" w:type="dxa"/>
            <w:tcBorders>
              <w:top w:val="single" w:sz="4" w:space="0" w:color="auto"/>
            </w:tcBorders>
          </w:tcPr>
          <w:p w14:paraId="33F853C0" w14:textId="77777777" w:rsidR="002A2CFE" w:rsidRDefault="002A2CFE" w:rsidP="00BA4A2D">
            <w:pPr>
              <w:widowControl w:val="0"/>
              <w:spacing w:after="0" w:line="240" w:lineRule="auto"/>
              <w:jc w:val="center"/>
            </w:pPr>
            <w:r>
              <w:t>.009</w:t>
            </w:r>
          </w:p>
        </w:tc>
      </w:tr>
      <w:tr w:rsidR="002A2CFE" w14:paraId="4B9DB0E2" w14:textId="77777777" w:rsidTr="00BA4A2D">
        <w:trPr>
          <w:trHeight w:hRule="exact" w:val="261"/>
        </w:trPr>
        <w:tc>
          <w:tcPr>
            <w:tcW w:w="860" w:type="dxa"/>
            <w:vAlign w:val="center"/>
          </w:tcPr>
          <w:p w14:paraId="32E67107" w14:textId="77777777" w:rsidR="002A2CFE" w:rsidRDefault="002A2CFE" w:rsidP="00BA4A2D">
            <w:pPr>
              <w:widowControl w:val="0"/>
              <w:spacing w:after="0" w:line="240" w:lineRule="auto"/>
              <w:jc w:val="center"/>
            </w:pPr>
            <w:r>
              <w:t>Block</w:t>
            </w:r>
          </w:p>
        </w:tc>
        <w:tc>
          <w:tcPr>
            <w:tcW w:w="1697" w:type="dxa"/>
          </w:tcPr>
          <w:p w14:paraId="4D8AD76F" w14:textId="77777777" w:rsidR="002A2CFE" w:rsidRDefault="002A2CFE" w:rsidP="00BA4A2D">
            <w:pPr>
              <w:widowControl w:val="0"/>
              <w:spacing w:after="0" w:line="240" w:lineRule="auto"/>
              <w:jc w:val="center"/>
            </w:pPr>
            <w:r>
              <w:t>17.143</w:t>
            </w:r>
          </w:p>
        </w:tc>
        <w:tc>
          <w:tcPr>
            <w:tcW w:w="863" w:type="dxa"/>
          </w:tcPr>
          <w:p w14:paraId="62779883" w14:textId="77777777" w:rsidR="002A2CFE" w:rsidRDefault="002A2CFE" w:rsidP="00BA4A2D">
            <w:pPr>
              <w:widowControl w:val="0"/>
              <w:spacing w:after="0" w:line="240" w:lineRule="auto"/>
              <w:jc w:val="center"/>
            </w:pPr>
            <w:r>
              <w:t>6</w:t>
            </w:r>
          </w:p>
        </w:tc>
        <w:tc>
          <w:tcPr>
            <w:tcW w:w="1260" w:type="dxa"/>
          </w:tcPr>
          <w:p w14:paraId="2122B59B" w14:textId="77777777" w:rsidR="002A2CFE" w:rsidRDefault="002A2CFE" w:rsidP="00BA4A2D">
            <w:pPr>
              <w:widowControl w:val="0"/>
              <w:spacing w:after="0" w:line="240" w:lineRule="auto"/>
              <w:jc w:val="center"/>
            </w:pPr>
            <w:r>
              <w:t>.009</w:t>
            </w:r>
          </w:p>
        </w:tc>
      </w:tr>
      <w:tr w:rsidR="002A2CFE" w14:paraId="59C61C5B" w14:textId="77777777" w:rsidTr="00BA4A2D">
        <w:trPr>
          <w:trHeight w:hRule="exact" w:val="279"/>
        </w:trPr>
        <w:tc>
          <w:tcPr>
            <w:tcW w:w="860" w:type="dxa"/>
            <w:tcBorders>
              <w:bottom w:val="single" w:sz="4" w:space="0" w:color="auto"/>
            </w:tcBorders>
            <w:vAlign w:val="center"/>
          </w:tcPr>
          <w:p w14:paraId="7B97A311" w14:textId="77777777" w:rsidR="002A2CFE" w:rsidRDefault="002A2CFE" w:rsidP="00BA4A2D">
            <w:pPr>
              <w:widowControl w:val="0"/>
              <w:spacing w:after="0" w:line="240" w:lineRule="auto"/>
              <w:jc w:val="center"/>
            </w:pPr>
            <w:r>
              <w:t>Model</w:t>
            </w:r>
          </w:p>
        </w:tc>
        <w:tc>
          <w:tcPr>
            <w:tcW w:w="1697" w:type="dxa"/>
            <w:tcBorders>
              <w:bottom w:val="single" w:sz="4" w:space="0" w:color="auto"/>
            </w:tcBorders>
          </w:tcPr>
          <w:p w14:paraId="0357C2A2" w14:textId="77777777" w:rsidR="002A2CFE" w:rsidRDefault="002A2CFE" w:rsidP="00BA4A2D">
            <w:pPr>
              <w:widowControl w:val="0"/>
              <w:spacing w:after="0" w:line="240" w:lineRule="auto"/>
              <w:jc w:val="center"/>
            </w:pPr>
            <w:r>
              <w:t>17.143</w:t>
            </w:r>
          </w:p>
        </w:tc>
        <w:tc>
          <w:tcPr>
            <w:tcW w:w="863" w:type="dxa"/>
            <w:tcBorders>
              <w:bottom w:val="single" w:sz="4" w:space="0" w:color="auto"/>
            </w:tcBorders>
          </w:tcPr>
          <w:p w14:paraId="58D27347" w14:textId="77777777" w:rsidR="002A2CFE" w:rsidRDefault="002A2CFE" w:rsidP="00BA4A2D">
            <w:pPr>
              <w:widowControl w:val="0"/>
              <w:spacing w:after="0" w:line="240" w:lineRule="auto"/>
              <w:jc w:val="center"/>
            </w:pPr>
            <w:r>
              <w:t>6</w:t>
            </w:r>
          </w:p>
        </w:tc>
        <w:tc>
          <w:tcPr>
            <w:tcW w:w="1260" w:type="dxa"/>
            <w:tcBorders>
              <w:bottom w:val="single" w:sz="4" w:space="0" w:color="auto"/>
            </w:tcBorders>
          </w:tcPr>
          <w:p w14:paraId="1C9D4E00" w14:textId="77777777" w:rsidR="002A2CFE" w:rsidRDefault="002A2CFE" w:rsidP="00BA4A2D">
            <w:pPr>
              <w:widowControl w:val="0"/>
              <w:spacing w:after="0" w:line="240" w:lineRule="auto"/>
              <w:jc w:val="center"/>
            </w:pPr>
            <w:r>
              <w:t>.009</w:t>
            </w:r>
          </w:p>
        </w:tc>
      </w:tr>
    </w:tbl>
    <w:p w14:paraId="203ABE68" w14:textId="77777777" w:rsidR="002A2CFE" w:rsidRDefault="002A2CFE" w:rsidP="00BA4A2D">
      <w:pPr>
        <w:widowControl w:val="0"/>
        <w:spacing w:after="0" w:line="240" w:lineRule="auto"/>
        <w:rPr>
          <w:rFonts w:ascii="Times New Roman" w:hAnsi="Times New Roman" w:cs="Times New Roman"/>
          <w:sz w:val="24"/>
          <w:szCs w:val="24"/>
        </w:rPr>
      </w:pPr>
    </w:p>
    <w:p w14:paraId="08A74C1D" w14:textId="57CE468B" w:rsidR="002A2CFE" w:rsidRDefault="002A2CFE" w:rsidP="00AF506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Table F2</w:t>
      </w:r>
    </w:p>
    <w:p w14:paraId="1F753417" w14:textId="77777777" w:rsidR="00A113D5" w:rsidRDefault="00A113D5" w:rsidP="00BA4A2D">
      <w:pPr>
        <w:widowControl w:val="0"/>
        <w:spacing w:after="0" w:line="240" w:lineRule="auto"/>
        <w:rPr>
          <w:rFonts w:ascii="Times New Roman" w:hAnsi="Times New Roman" w:cs="Times New Roman"/>
          <w:sz w:val="24"/>
          <w:szCs w:val="24"/>
        </w:rPr>
      </w:pPr>
    </w:p>
    <w:p w14:paraId="151FAE15" w14:textId="21933252" w:rsidR="002A2CFE" w:rsidRDefault="002A2CFE" w:rsidP="00BA4A2D">
      <w:pPr>
        <w:widowControl w:val="0"/>
        <w:spacing w:after="0" w:line="240" w:lineRule="auto"/>
        <w:rPr>
          <w:rFonts w:ascii="Times New Roman" w:hAnsi="Times New Roman" w:cs="Times New Roman"/>
          <w:i/>
          <w:sz w:val="24"/>
          <w:szCs w:val="24"/>
        </w:rPr>
      </w:pPr>
      <w:r w:rsidRPr="00D448B9">
        <w:rPr>
          <w:rFonts w:ascii="Times New Roman" w:hAnsi="Times New Roman" w:cs="Times New Roman"/>
          <w:i/>
          <w:sz w:val="24"/>
          <w:szCs w:val="24"/>
        </w:rPr>
        <w:t>Model Summary</w:t>
      </w:r>
      <w:r w:rsidR="00DA6453">
        <w:rPr>
          <w:rFonts w:ascii="Times New Roman" w:hAnsi="Times New Roman" w:cs="Times New Roman"/>
          <w:i/>
          <w:sz w:val="24"/>
          <w:szCs w:val="24"/>
        </w:rPr>
        <w:t xml:space="preserve"> for Research Question #2</w:t>
      </w:r>
      <w:r w:rsidRPr="00D448B9">
        <w:rPr>
          <w:rFonts w:ascii="Times New Roman" w:hAnsi="Times New Roman" w:cs="Times New Roman"/>
          <w:i/>
          <w:sz w:val="24"/>
          <w:szCs w:val="24"/>
        </w:rPr>
        <w:t xml:space="preserve"> – </w:t>
      </w:r>
      <w:r>
        <w:rPr>
          <w:rFonts w:ascii="Times New Roman" w:hAnsi="Times New Roman" w:cs="Times New Roman"/>
          <w:i/>
          <w:sz w:val="24"/>
          <w:szCs w:val="24"/>
        </w:rPr>
        <w:t>Men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
      <w:tblGrid>
        <w:gridCol w:w="1697"/>
        <w:gridCol w:w="1697"/>
        <w:gridCol w:w="1697"/>
      </w:tblGrid>
      <w:tr w:rsidR="002A2CFE" w14:paraId="7E8F92C6" w14:textId="77777777" w:rsidTr="00BA4A2D">
        <w:trPr>
          <w:trHeight w:hRule="exact" w:val="614"/>
        </w:trPr>
        <w:tc>
          <w:tcPr>
            <w:tcW w:w="1697" w:type="dxa"/>
            <w:tcBorders>
              <w:top w:val="single" w:sz="8" w:space="0" w:color="auto"/>
              <w:bottom w:val="single" w:sz="4" w:space="0" w:color="auto"/>
            </w:tcBorders>
          </w:tcPr>
          <w:p w14:paraId="7B662248" w14:textId="77777777" w:rsidR="002A2CFE" w:rsidRPr="00D448B9" w:rsidRDefault="002A2CFE" w:rsidP="00BA4A2D">
            <w:pPr>
              <w:widowControl w:val="0"/>
              <w:spacing w:after="0" w:line="240" w:lineRule="auto"/>
              <w:jc w:val="center"/>
            </w:pPr>
            <w:r>
              <w:t>-2 Log likelihood</w:t>
            </w:r>
          </w:p>
        </w:tc>
        <w:tc>
          <w:tcPr>
            <w:tcW w:w="1697" w:type="dxa"/>
            <w:tcBorders>
              <w:top w:val="single" w:sz="8" w:space="0" w:color="auto"/>
              <w:bottom w:val="single" w:sz="4" w:space="0" w:color="auto"/>
            </w:tcBorders>
          </w:tcPr>
          <w:p w14:paraId="183E2F60" w14:textId="77777777" w:rsidR="002A2CFE" w:rsidRPr="00D448B9" w:rsidRDefault="002A2CFE" w:rsidP="00BA4A2D">
            <w:pPr>
              <w:widowControl w:val="0"/>
              <w:spacing w:after="0" w:line="240" w:lineRule="auto"/>
              <w:jc w:val="center"/>
            </w:pPr>
            <w:r>
              <w:t>Cox &amp; Snell R Square</w:t>
            </w:r>
          </w:p>
        </w:tc>
        <w:tc>
          <w:tcPr>
            <w:tcW w:w="1697" w:type="dxa"/>
            <w:tcBorders>
              <w:top w:val="single" w:sz="8" w:space="0" w:color="auto"/>
              <w:bottom w:val="single" w:sz="4" w:space="0" w:color="auto"/>
            </w:tcBorders>
          </w:tcPr>
          <w:p w14:paraId="24AC3C3C" w14:textId="77777777" w:rsidR="002A2CFE" w:rsidRPr="00D448B9" w:rsidRDefault="002A2CFE" w:rsidP="00BA4A2D">
            <w:pPr>
              <w:widowControl w:val="0"/>
              <w:spacing w:after="0" w:line="240" w:lineRule="auto"/>
              <w:jc w:val="center"/>
            </w:pPr>
            <w:r>
              <w:t>Nagelkerke R Square</w:t>
            </w:r>
          </w:p>
        </w:tc>
      </w:tr>
      <w:tr w:rsidR="002A2CFE" w14:paraId="67389BA3" w14:textId="77777777" w:rsidTr="00BA4A2D">
        <w:trPr>
          <w:trHeight w:hRule="exact" w:val="262"/>
        </w:trPr>
        <w:tc>
          <w:tcPr>
            <w:tcW w:w="1697" w:type="dxa"/>
            <w:tcBorders>
              <w:top w:val="single" w:sz="4" w:space="0" w:color="auto"/>
              <w:bottom w:val="single" w:sz="4" w:space="0" w:color="auto"/>
            </w:tcBorders>
          </w:tcPr>
          <w:p w14:paraId="64FEB2FC" w14:textId="77777777" w:rsidR="002A2CFE" w:rsidRDefault="002A2CFE" w:rsidP="00BA4A2D">
            <w:pPr>
              <w:widowControl w:val="0"/>
              <w:spacing w:after="0" w:line="240" w:lineRule="auto"/>
              <w:jc w:val="center"/>
            </w:pPr>
            <w:r>
              <w:t>61.404</w:t>
            </w:r>
            <w:r w:rsidRPr="002C2B1A">
              <w:rPr>
                <w:vertAlign w:val="superscript"/>
              </w:rPr>
              <w:t>a</w:t>
            </w:r>
          </w:p>
        </w:tc>
        <w:tc>
          <w:tcPr>
            <w:tcW w:w="1697" w:type="dxa"/>
            <w:tcBorders>
              <w:top w:val="single" w:sz="4" w:space="0" w:color="auto"/>
              <w:bottom w:val="single" w:sz="4" w:space="0" w:color="auto"/>
            </w:tcBorders>
          </w:tcPr>
          <w:p w14:paraId="1A254D88" w14:textId="77777777" w:rsidR="002A2CFE" w:rsidRDefault="002A2CFE" w:rsidP="00BA4A2D">
            <w:pPr>
              <w:widowControl w:val="0"/>
              <w:spacing w:after="0" w:line="240" w:lineRule="auto"/>
              <w:jc w:val="center"/>
            </w:pPr>
            <w:r>
              <w:t>.245</w:t>
            </w:r>
          </w:p>
        </w:tc>
        <w:tc>
          <w:tcPr>
            <w:tcW w:w="1697" w:type="dxa"/>
            <w:tcBorders>
              <w:top w:val="single" w:sz="4" w:space="0" w:color="auto"/>
              <w:bottom w:val="single" w:sz="4" w:space="0" w:color="auto"/>
            </w:tcBorders>
          </w:tcPr>
          <w:p w14:paraId="241C2809" w14:textId="77777777" w:rsidR="002A2CFE" w:rsidRDefault="002A2CFE" w:rsidP="00BA4A2D">
            <w:pPr>
              <w:widowControl w:val="0"/>
              <w:spacing w:after="0" w:line="240" w:lineRule="auto"/>
              <w:jc w:val="center"/>
            </w:pPr>
            <w:r>
              <w:t>.338</w:t>
            </w:r>
          </w:p>
        </w:tc>
      </w:tr>
    </w:tbl>
    <w:p w14:paraId="01B7A92A" w14:textId="77777777" w:rsidR="002A2CFE" w:rsidRPr="002C2B1A" w:rsidRDefault="002A2CFE" w:rsidP="00BA4A2D">
      <w:pPr>
        <w:pStyle w:val="ListParagraph"/>
        <w:widowControl w:val="0"/>
        <w:numPr>
          <w:ilvl w:val="0"/>
          <w:numId w:val="12"/>
        </w:numPr>
        <w:rPr>
          <w:sz w:val="20"/>
          <w:szCs w:val="20"/>
        </w:rPr>
      </w:pPr>
      <w:r w:rsidRPr="002C2B1A">
        <w:rPr>
          <w:sz w:val="20"/>
          <w:szCs w:val="20"/>
        </w:rPr>
        <w:t>Estimation te</w:t>
      </w:r>
      <w:r>
        <w:rPr>
          <w:sz w:val="20"/>
          <w:szCs w:val="20"/>
        </w:rPr>
        <w:t>rminated at iteration number 5</w:t>
      </w:r>
      <w:r w:rsidRPr="002C2B1A">
        <w:rPr>
          <w:sz w:val="20"/>
          <w:szCs w:val="20"/>
        </w:rPr>
        <w:t xml:space="preserve"> because parameter estimates changed by less than .001.</w:t>
      </w:r>
    </w:p>
    <w:p w14:paraId="7DE167C7" w14:textId="77777777" w:rsidR="002A2CFE" w:rsidRDefault="002A2CFE" w:rsidP="00BA4A2D">
      <w:pPr>
        <w:widowControl w:val="0"/>
        <w:spacing w:after="0" w:line="240" w:lineRule="auto"/>
        <w:rPr>
          <w:rFonts w:ascii="Times New Roman" w:hAnsi="Times New Roman" w:cs="Times New Roman"/>
          <w:sz w:val="24"/>
          <w:szCs w:val="24"/>
        </w:rPr>
      </w:pPr>
    </w:p>
    <w:p w14:paraId="2F6DF574" w14:textId="0FBA8598" w:rsidR="002A2CFE" w:rsidRDefault="002A2CFE" w:rsidP="00AF506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Table F3</w:t>
      </w:r>
    </w:p>
    <w:p w14:paraId="01A3C122" w14:textId="77777777" w:rsidR="00A113D5" w:rsidRDefault="00A113D5" w:rsidP="00BA4A2D">
      <w:pPr>
        <w:widowControl w:val="0"/>
        <w:spacing w:after="0" w:line="240" w:lineRule="auto"/>
        <w:rPr>
          <w:rFonts w:ascii="Times New Roman" w:hAnsi="Times New Roman" w:cs="Times New Roman"/>
          <w:sz w:val="24"/>
          <w:szCs w:val="24"/>
        </w:rPr>
      </w:pPr>
    </w:p>
    <w:p w14:paraId="286E2B99" w14:textId="14BEB04C" w:rsidR="002A2CFE" w:rsidRPr="002C2B1A" w:rsidRDefault="006B0EB7" w:rsidP="00BA4A2D">
      <w:pPr>
        <w:widowControl w:val="0"/>
        <w:spacing w:after="0" w:line="240" w:lineRule="auto"/>
        <w:rPr>
          <w:rFonts w:ascii="Times New Roman" w:hAnsi="Times New Roman" w:cs="Times New Roman"/>
          <w:i/>
          <w:sz w:val="24"/>
          <w:szCs w:val="24"/>
        </w:rPr>
      </w:pPr>
      <w:r w:rsidRPr="002C2B1A">
        <w:rPr>
          <w:rFonts w:ascii="Times New Roman" w:hAnsi="Times New Roman" w:cs="Times New Roman"/>
          <w:i/>
          <w:sz w:val="24"/>
          <w:szCs w:val="24"/>
        </w:rPr>
        <w:t>Classification</w:t>
      </w:r>
      <w:r w:rsidR="002A2CFE" w:rsidRPr="002C2B1A">
        <w:rPr>
          <w:rFonts w:ascii="Times New Roman" w:hAnsi="Times New Roman" w:cs="Times New Roman"/>
          <w:i/>
          <w:sz w:val="24"/>
          <w:szCs w:val="24"/>
        </w:rPr>
        <w:t xml:space="preserve"> Table</w:t>
      </w:r>
      <w:r w:rsidR="00DA6453">
        <w:rPr>
          <w:rFonts w:ascii="Times New Roman" w:hAnsi="Times New Roman" w:cs="Times New Roman"/>
          <w:i/>
          <w:sz w:val="24"/>
          <w:szCs w:val="24"/>
        </w:rPr>
        <w:t xml:space="preserve"> for Research Question #2</w:t>
      </w:r>
      <w:r w:rsidR="002A2CFE" w:rsidRPr="002C2B1A">
        <w:rPr>
          <w:rFonts w:ascii="Times New Roman" w:hAnsi="Times New Roman" w:cs="Times New Roman"/>
          <w:i/>
          <w:sz w:val="24"/>
          <w:szCs w:val="24"/>
        </w:rPr>
        <w:t xml:space="preserve"> – </w:t>
      </w:r>
      <w:r w:rsidR="002A2CFE">
        <w:rPr>
          <w:rFonts w:ascii="Times New Roman" w:hAnsi="Times New Roman" w:cs="Times New Roman"/>
          <w:i/>
          <w:sz w:val="24"/>
          <w:szCs w:val="24"/>
        </w:rPr>
        <w:t xml:space="preserve">Men </w:t>
      </w:r>
      <w:r>
        <w:rPr>
          <w:rFonts w:ascii="Times New Roman" w:hAnsi="Times New Roman" w:cs="Times New Roman"/>
          <w:i/>
          <w:sz w:val="24"/>
          <w:szCs w:val="24"/>
        </w:rPr>
        <w:t>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
      <w:tblGrid>
        <w:gridCol w:w="1555"/>
        <w:gridCol w:w="875"/>
        <w:gridCol w:w="1490"/>
        <w:gridCol w:w="760"/>
        <w:gridCol w:w="2160"/>
      </w:tblGrid>
      <w:tr w:rsidR="002A2CFE" w14:paraId="1FF9E703" w14:textId="77777777" w:rsidTr="00BA4A2D">
        <w:trPr>
          <w:trHeight w:hRule="exact" w:val="371"/>
        </w:trPr>
        <w:tc>
          <w:tcPr>
            <w:tcW w:w="1555" w:type="dxa"/>
            <w:tcBorders>
              <w:top w:val="single" w:sz="8" w:space="0" w:color="auto"/>
            </w:tcBorders>
            <w:vAlign w:val="center"/>
          </w:tcPr>
          <w:p w14:paraId="258B58DC" w14:textId="77777777" w:rsidR="002A2CFE" w:rsidRPr="00860722" w:rsidRDefault="002A2CFE" w:rsidP="00BA4A2D">
            <w:pPr>
              <w:widowControl w:val="0"/>
              <w:spacing w:after="0" w:line="240" w:lineRule="auto"/>
              <w:jc w:val="center"/>
            </w:pPr>
          </w:p>
        </w:tc>
        <w:tc>
          <w:tcPr>
            <w:tcW w:w="875" w:type="dxa"/>
            <w:tcBorders>
              <w:top w:val="single" w:sz="8" w:space="0" w:color="auto"/>
            </w:tcBorders>
            <w:vAlign w:val="center"/>
          </w:tcPr>
          <w:p w14:paraId="6DDCC650" w14:textId="77777777" w:rsidR="002A2CFE" w:rsidRPr="007E2F5D" w:rsidRDefault="002A2CFE" w:rsidP="00BA4A2D">
            <w:pPr>
              <w:widowControl w:val="0"/>
              <w:spacing w:after="0" w:line="240" w:lineRule="auto"/>
              <w:jc w:val="center"/>
              <w:rPr>
                <w:i/>
              </w:rPr>
            </w:pPr>
          </w:p>
        </w:tc>
        <w:tc>
          <w:tcPr>
            <w:tcW w:w="4410" w:type="dxa"/>
            <w:gridSpan w:val="3"/>
            <w:tcBorders>
              <w:top w:val="single" w:sz="8" w:space="0" w:color="auto"/>
            </w:tcBorders>
            <w:vAlign w:val="center"/>
          </w:tcPr>
          <w:p w14:paraId="49B0D576" w14:textId="77777777" w:rsidR="002A2CFE" w:rsidRPr="005033A9" w:rsidRDefault="002A2CFE" w:rsidP="00BA4A2D">
            <w:pPr>
              <w:widowControl w:val="0"/>
              <w:spacing w:after="0" w:line="240" w:lineRule="auto"/>
              <w:jc w:val="center"/>
            </w:pPr>
            <w:r>
              <w:t>Predicted</w:t>
            </w:r>
          </w:p>
        </w:tc>
      </w:tr>
      <w:tr w:rsidR="002A2CFE" w14:paraId="1EFED4F1" w14:textId="77777777" w:rsidTr="00BA4A2D">
        <w:trPr>
          <w:trHeight w:hRule="exact" w:val="252"/>
        </w:trPr>
        <w:tc>
          <w:tcPr>
            <w:tcW w:w="1555" w:type="dxa"/>
            <w:vAlign w:val="center"/>
          </w:tcPr>
          <w:p w14:paraId="51201B15" w14:textId="77777777" w:rsidR="002A2CFE" w:rsidRDefault="002A2CFE" w:rsidP="00BA4A2D">
            <w:pPr>
              <w:widowControl w:val="0"/>
              <w:spacing w:after="0" w:line="240" w:lineRule="auto"/>
              <w:jc w:val="center"/>
              <w:rPr>
                <w:i/>
              </w:rPr>
            </w:pPr>
          </w:p>
        </w:tc>
        <w:tc>
          <w:tcPr>
            <w:tcW w:w="875" w:type="dxa"/>
            <w:vAlign w:val="center"/>
          </w:tcPr>
          <w:p w14:paraId="57BBC8EC" w14:textId="77777777" w:rsidR="002A2CFE" w:rsidRDefault="002A2CFE" w:rsidP="00BA4A2D">
            <w:pPr>
              <w:widowControl w:val="0"/>
              <w:spacing w:after="0" w:line="240" w:lineRule="auto"/>
              <w:jc w:val="center"/>
              <w:rPr>
                <w:i/>
              </w:rPr>
            </w:pPr>
          </w:p>
        </w:tc>
        <w:tc>
          <w:tcPr>
            <w:tcW w:w="2250" w:type="dxa"/>
            <w:gridSpan w:val="2"/>
          </w:tcPr>
          <w:p w14:paraId="5A17ECD6" w14:textId="5BB74574" w:rsidR="002A2CFE" w:rsidRPr="005033A9" w:rsidRDefault="002A2CFE" w:rsidP="00BA4A2D">
            <w:pPr>
              <w:widowControl w:val="0"/>
              <w:spacing w:after="0" w:line="240" w:lineRule="auto"/>
              <w:jc w:val="center"/>
            </w:pPr>
            <w:r>
              <w:t>ENRD</w:t>
            </w:r>
          </w:p>
        </w:tc>
        <w:tc>
          <w:tcPr>
            <w:tcW w:w="2160" w:type="dxa"/>
          </w:tcPr>
          <w:p w14:paraId="62E5A52F" w14:textId="77777777" w:rsidR="002A2CFE" w:rsidRDefault="002A2CFE" w:rsidP="00BA4A2D">
            <w:pPr>
              <w:widowControl w:val="0"/>
              <w:spacing w:after="0" w:line="240" w:lineRule="auto"/>
              <w:jc w:val="center"/>
              <w:rPr>
                <w:i/>
              </w:rPr>
            </w:pPr>
          </w:p>
        </w:tc>
      </w:tr>
      <w:tr w:rsidR="002A2CFE" w14:paraId="1B084A17" w14:textId="77777777" w:rsidTr="00BA4A2D">
        <w:trPr>
          <w:trHeight w:hRule="exact" w:val="315"/>
        </w:trPr>
        <w:tc>
          <w:tcPr>
            <w:tcW w:w="1555" w:type="dxa"/>
            <w:tcBorders>
              <w:bottom w:val="single" w:sz="4" w:space="0" w:color="auto"/>
            </w:tcBorders>
          </w:tcPr>
          <w:p w14:paraId="313BE55D" w14:textId="77777777" w:rsidR="002A2CFE" w:rsidRPr="005033A9" w:rsidRDefault="002A2CFE" w:rsidP="00BA4A2D">
            <w:pPr>
              <w:widowControl w:val="0"/>
              <w:spacing w:after="0" w:line="240" w:lineRule="auto"/>
              <w:jc w:val="center"/>
            </w:pPr>
            <w:r>
              <w:t>Observed</w:t>
            </w:r>
          </w:p>
        </w:tc>
        <w:tc>
          <w:tcPr>
            <w:tcW w:w="875" w:type="dxa"/>
            <w:tcBorders>
              <w:bottom w:val="single" w:sz="4" w:space="0" w:color="auto"/>
            </w:tcBorders>
          </w:tcPr>
          <w:p w14:paraId="61DAE305" w14:textId="77777777" w:rsidR="002A2CFE" w:rsidRPr="00860722" w:rsidRDefault="002A2CFE" w:rsidP="00BA4A2D">
            <w:pPr>
              <w:widowControl w:val="0"/>
              <w:spacing w:after="0" w:line="240" w:lineRule="auto"/>
              <w:jc w:val="center"/>
              <w:rPr>
                <w:i/>
              </w:rPr>
            </w:pPr>
          </w:p>
        </w:tc>
        <w:tc>
          <w:tcPr>
            <w:tcW w:w="1490" w:type="dxa"/>
            <w:tcBorders>
              <w:bottom w:val="single" w:sz="4" w:space="0" w:color="auto"/>
            </w:tcBorders>
          </w:tcPr>
          <w:p w14:paraId="25442689" w14:textId="77777777" w:rsidR="002A2CFE" w:rsidRPr="005033A9" w:rsidRDefault="002A2CFE" w:rsidP="00BA4A2D">
            <w:pPr>
              <w:widowControl w:val="0"/>
              <w:spacing w:after="0" w:line="240" w:lineRule="auto"/>
              <w:jc w:val="center"/>
            </w:pPr>
            <w:r w:rsidRPr="005033A9">
              <w:t>0</w:t>
            </w:r>
          </w:p>
        </w:tc>
        <w:tc>
          <w:tcPr>
            <w:tcW w:w="760" w:type="dxa"/>
            <w:tcBorders>
              <w:bottom w:val="single" w:sz="4" w:space="0" w:color="auto"/>
            </w:tcBorders>
          </w:tcPr>
          <w:p w14:paraId="428728F1" w14:textId="2CB7AC9F" w:rsidR="002A2CFE" w:rsidRPr="005033A9" w:rsidRDefault="002A2CFE" w:rsidP="00BA4A2D">
            <w:pPr>
              <w:widowControl w:val="0"/>
              <w:spacing w:after="0" w:line="240" w:lineRule="auto"/>
              <w:jc w:val="center"/>
            </w:pPr>
            <w:r w:rsidRPr="005033A9">
              <w:t>1</w:t>
            </w:r>
          </w:p>
        </w:tc>
        <w:tc>
          <w:tcPr>
            <w:tcW w:w="2160" w:type="dxa"/>
            <w:tcBorders>
              <w:bottom w:val="single" w:sz="4" w:space="0" w:color="auto"/>
            </w:tcBorders>
          </w:tcPr>
          <w:p w14:paraId="563A70DA" w14:textId="77777777" w:rsidR="002A2CFE" w:rsidRPr="005033A9" w:rsidRDefault="002A2CFE" w:rsidP="00BA4A2D">
            <w:pPr>
              <w:widowControl w:val="0"/>
              <w:spacing w:after="0" w:line="240" w:lineRule="auto"/>
              <w:jc w:val="center"/>
            </w:pPr>
            <w:r>
              <w:t>Percentage Correct</w:t>
            </w:r>
          </w:p>
        </w:tc>
      </w:tr>
      <w:tr w:rsidR="002A2CFE" w14:paraId="4E2B7187" w14:textId="77777777" w:rsidTr="00BA4A2D">
        <w:trPr>
          <w:trHeight w:hRule="exact" w:val="325"/>
        </w:trPr>
        <w:tc>
          <w:tcPr>
            <w:tcW w:w="1555" w:type="dxa"/>
            <w:tcBorders>
              <w:top w:val="single" w:sz="4" w:space="0" w:color="auto"/>
            </w:tcBorders>
          </w:tcPr>
          <w:p w14:paraId="280F279A" w14:textId="77777777" w:rsidR="002A2CFE" w:rsidRDefault="002A2CFE" w:rsidP="00BA4A2D">
            <w:pPr>
              <w:widowControl w:val="0"/>
              <w:spacing w:after="0" w:line="240" w:lineRule="auto"/>
              <w:jc w:val="center"/>
            </w:pPr>
            <w:r>
              <w:t>ENRD</w:t>
            </w:r>
          </w:p>
        </w:tc>
        <w:tc>
          <w:tcPr>
            <w:tcW w:w="875" w:type="dxa"/>
            <w:tcBorders>
              <w:top w:val="single" w:sz="4" w:space="0" w:color="auto"/>
            </w:tcBorders>
          </w:tcPr>
          <w:p w14:paraId="686F1137" w14:textId="77777777" w:rsidR="002A2CFE" w:rsidRDefault="002A2CFE" w:rsidP="00BA4A2D">
            <w:pPr>
              <w:widowControl w:val="0"/>
              <w:spacing w:after="0" w:line="240" w:lineRule="auto"/>
              <w:jc w:val="center"/>
            </w:pPr>
            <w:r>
              <w:t>0</w:t>
            </w:r>
          </w:p>
        </w:tc>
        <w:tc>
          <w:tcPr>
            <w:tcW w:w="1490" w:type="dxa"/>
            <w:tcBorders>
              <w:top w:val="single" w:sz="4" w:space="0" w:color="auto"/>
            </w:tcBorders>
          </w:tcPr>
          <w:p w14:paraId="07F455C2" w14:textId="77777777" w:rsidR="002A2CFE" w:rsidRDefault="002A2CFE" w:rsidP="00BA4A2D">
            <w:pPr>
              <w:widowControl w:val="0"/>
              <w:spacing w:after="0" w:line="240" w:lineRule="auto"/>
              <w:jc w:val="center"/>
            </w:pPr>
            <w:r>
              <w:t>34</w:t>
            </w:r>
          </w:p>
        </w:tc>
        <w:tc>
          <w:tcPr>
            <w:tcW w:w="760" w:type="dxa"/>
            <w:tcBorders>
              <w:top w:val="single" w:sz="4" w:space="0" w:color="auto"/>
            </w:tcBorders>
          </w:tcPr>
          <w:p w14:paraId="438AA0BC" w14:textId="77777777" w:rsidR="002A2CFE" w:rsidRDefault="002A2CFE" w:rsidP="00BA4A2D">
            <w:pPr>
              <w:widowControl w:val="0"/>
              <w:spacing w:after="0" w:line="240" w:lineRule="auto"/>
              <w:jc w:val="center"/>
            </w:pPr>
            <w:r>
              <w:t>6</w:t>
            </w:r>
          </w:p>
        </w:tc>
        <w:tc>
          <w:tcPr>
            <w:tcW w:w="2160" w:type="dxa"/>
            <w:tcBorders>
              <w:top w:val="single" w:sz="4" w:space="0" w:color="auto"/>
            </w:tcBorders>
          </w:tcPr>
          <w:p w14:paraId="38451B0C" w14:textId="77777777" w:rsidR="002A2CFE" w:rsidRDefault="002A2CFE" w:rsidP="00BA4A2D">
            <w:pPr>
              <w:widowControl w:val="0"/>
              <w:spacing w:after="0" w:line="240" w:lineRule="auto"/>
              <w:jc w:val="center"/>
            </w:pPr>
            <w:r>
              <w:t>85.0</w:t>
            </w:r>
          </w:p>
        </w:tc>
      </w:tr>
      <w:tr w:rsidR="002A2CFE" w14:paraId="15D122A9" w14:textId="77777777" w:rsidTr="00BA4A2D">
        <w:trPr>
          <w:trHeight w:hRule="exact" w:val="342"/>
        </w:trPr>
        <w:tc>
          <w:tcPr>
            <w:tcW w:w="1555" w:type="dxa"/>
          </w:tcPr>
          <w:p w14:paraId="73AF1D89" w14:textId="77777777" w:rsidR="002A2CFE" w:rsidRDefault="002A2CFE" w:rsidP="00BA4A2D">
            <w:pPr>
              <w:widowControl w:val="0"/>
              <w:spacing w:after="0" w:line="240" w:lineRule="auto"/>
              <w:jc w:val="center"/>
            </w:pPr>
          </w:p>
        </w:tc>
        <w:tc>
          <w:tcPr>
            <w:tcW w:w="875" w:type="dxa"/>
          </w:tcPr>
          <w:p w14:paraId="200CF447" w14:textId="77777777" w:rsidR="002A2CFE" w:rsidRDefault="002A2CFE" w:rsidP="00BA4A2D">
            <w:pPr>
              <w:widowControl w:val="0"/>
              <w:spacing w:after="0" w:line="240" w:lineRule="auto"/>
              <w:jc w:val="center"/>
            </w:pPr>
            <w:r>
              <w:t>1</w:t>
            </w:r>
          </w:p>
        </w:tc>
        <w:tc>
          <w:tcPr>
            <w:tcW w:w="1490" w:type="dxa"/>
          </w:tcPr>
          <w:p w14:paraId="2C0403AA" w14:textId="77777777" w:rsidR="002A2CFE" w:rsidRDefault="002A2CFE" w:rsidP="00BA4A2D">
            <w:pPr>
              <w:widowControl w:val="0"/>
              <w:spacing w:after="0" w:line="240" w:lineRule="auto"/>
              <w:jc w:val="center"/>
            </w:pPr>
            <w:r>
              <w:t>9</w:t>
            </w:r>
          </w:p>
        </w:tc>
        <w:tc>
          <w:tcPr>
            <w:tcW w:w="760" w:type="dxa"/>
          </w:tcPr>
          <w:p w14:paraId="310D4941" w14:textId="77777777" w:rsidR="002A2CFE" w:rsidRDefault="002A2CFE" w:rsidP="00BA4A2D">
            <w:pPr>
              <w:widowControl w:val="0"/>
              <w:spacing w:after="0" w:line="240" w:lineRule="auto"/>
              <w:jc w:val="center"/>
            </w:pPr>
            <w:r>
              <w:t>12</w:t>
            </w:r>
          </w:p>
        </w:tc>
        <w:tc>
          <w:tcPr>
            <w:tcW w:w="2160" w:type="dxa"/>
          </w:tcPr>
          <w:p w14:paraId="65C01ACD" w14:textId="77777777" w:rsidR="002A2CFE" w:rsidRDefault="002A2CFE" w:rsidP="00BA4A2D">
            <w:pPr>
              <w:widowControl w:val="0"/>
              <w:spacing w:after="0" w:line="240" w:lineRule="auto"/>
              <w:jc w:val="center"/>
            </w:pPr>
            <w:r>
              <w:t>57.1</w:t>
            </w:r>
          </w:p>
        </w:tc>
      </w:tr>
      <w:tr w:rsidR="002A2CFE" w14:paraId="572F8C2D" w14:textId="77777777" w:rsidTr="00BA4A2D">
        <w:trPr>
          <w:trHeight w:hRule="exact" w:val="279"/>
        </w:trPr>
        <w:tc>
          <w:tcPr>
            <w:tcW w:w="2430" w:type="dxa"/>
            <w:gridSpan w:val="2"/>
            <w:tcBorders>
              <w:bottom w:val="single" w:sz="4" w:space="0" w:color="auto"/>
            </w:tcBorders>
          </w:tcPr>
          <w:p w14:paraId="132B6E5C" w14:textId="77777777" w:rsidR="002A2CFE" w:rsidRDefault="002A2CFE" w:rsidP="00BA4A2D">
            <w:pPr>
              <w:widowControl w:val="0"/>
              <w:spacing w:after="0" w:line="240" w:lineRule="auto"/>
              <w:jc w:val="center"/>
            </w:pPr>
            <w:r>
              <w:t>Overall Percentage</w:t>
            </w:r>
          </w:p>
        </w:tc>
        <w:tc>
          <w:tcPr>
            <w:tcW w:w="1490" w:type="dxa"/>
            <w:tcBorders>
              <w:bottom w:val="single" w:sz="4" w:space="0" w:color="auto"/>
            </w:tcBorders>
          </w:tcPr>
          <w:p w14:paraId="04358569" w14:textId="77777777" w:rsidR="002A2CFE" w:rsidRDefault="002A2CFE" w:rsidP="00BA4A2D">
            <w:pPr>
              <w:widowControl w:val="0"/>
              <w:spacing w:after="0" w:line="240" w:lineRule="auto"/>
              <w:jc w:val="center"/>
            </w:pPr>
          </w:p>
        </w:tc>
        <w:tc>
          <w:tcPr>
            <w:tcW w:w="760" w:type="dxa"/>
            <w:tcBorders>
              <w:bottom w:val="single" w:sz="4" w:space="0" w:color="auto"/>
            </w:tcBorders>
          </w:tcPr>
          <w:p w14:paraId="144BB349" w14:textId="77777777" w:rsidR="002A2CFE" w:rsidRDefault="002A2CFE" w:rsidP="00BA4A2D">
            <w:pPr>
              <w:widowControl w:val="0"/>
              <w:spacing w:after="0" w:line="240" w:lineRule="auto"/>
              <w:jc w:val="center"/>
            </w:pPr>
          </w:p>
        </w:tc>
        <w:tc>
          <w:tcPr>
            <w:tcW w:w="2160" w:type="dxa"/>
            <w:tcBorders>
              <w:bottom w:val="single" w:sz="4" w:space="0" w:color="auto"/>
            </w:tcBorders>
          </w:tcPr>
          <w:p w14:paraId="3729BC74" w14:textId="77777777" w:rsidR="002A2CFE" w:rsidRDefault="002A2CFE" w:rsidP="00BA4A2D">
            <w:pPr>
              <w:widowControl w:val="0"/>
              <w:spacing w:after="0" w:line="240" w:lineRule="auto"/>
              <w:jc w:val="center"/>
            </w:pPr>
            <w:r>
              <w:t>75.4</w:t>
            </w:r>
          </w:p>
        </w:tc>
      </w:tr>
    </w:tbl>
    <w:p w14:paraId="676A683F" w14:textId="77777777" w:rsidR="00B21464" w:rsidRDefault="00B21464" w:rsidP="00BA4A2D">
      <w:pPr>
        <w:pStyle w:val="ListParagraph"/>
        <w:widowControl w:val="0"/>
        <w:numPr>
          <w:ilvl w:val="0"/>
          <w:numId w:val="16"/>
        </w:numPr>
        <w:rPr>
          <w:sz w:val="20"/>
          <w:szCs w:val="20"/>
        </w:rPr>
      </w:pPr>
      <w:r w:rsidRPr="00EB2B4A">
        <w:rPr>
          <w:sz w:val="20"/>
          <w:szCs w:val="20"/>
        </w:rPr>
        <w:t>The cut value is .500</w:t>
      </w:r>
    </w:p>
    <w:p w14:paraId="782E22C2" w14:textId="77777777" w:rsidR="00B21464" w:rsidRPr="00626556" w:rsidRDefault="00B21464" w:rsidP="00BA4A2D">
      <w:pPr>
        <w:pStyle w:val="ListParagraph"/>
        <w:widowControl w:val="0"/>
        <w:ind w:left="1080"/>
        <w:rPr>
          <w:sz w:val="20"/>
          <w:szCs w:val="20"/>
        </w:rPr>
      </w:pPr>
      <w:r>
        <w:rPr>
          <w:sz w:val="20"/>
          <w:szCs w:val="20"/>
        </w:rPr>
        <w:t xml:space="preserve"> </w:t>
      </w:r>
      <w:r w:rsidRPr="00626556">
        <w:rPr>
          <w:sz w:val="20"/>
          <w:szCs w:val="20"/>
        </w:rPr>
        <w:t>ENRD = Enrollment Decision and was coded 1 = did enrol in a second year of physics and 0 = did not enrol in a second hear of physics.</w:t>
      </w:r>
    </w:p>
    <w:p w14:paraId="3490AC33" w14:textId="18CC0F0F" w:rsidR="00B21464" w:rsidRDefault="00B21464" w:rsidP="00BA4A2D">
      <w:pPr>
        <w:widowControl w:val="0"/>
        <w:spacing w:after="0" w:line="240" w:lineRule="auto"/>
        <w:rPr>
          <w:rFonts w:ascii="Times New Roman" w:hAnsi="Times New Roman" w:cs="Times New Roman"/>
          <w:color w:val="000000"/>
          <w:sz w:val="24"/>
          <w:szCs w:val="24"/>
          <w:shd w:val="clear" w:color="auto" w:fill="FFFFFF"/>
        </w:rPr>
      </w:pPr>
    </w:p>
    <w:p w14:paraId="46BB2854" w14:textId="77777777" w:rsidR="00B21464" w:rsidRDefault="00B21464" w:rsidP="00BA4A2D">
      <w:pPr>
        <w:widowControl w:val="0"/>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br w:type="page"/>
      </w:r>
    </w:p>
    <w:p w14:paraId="2C907DDA" w14:textId="6094C7A0" w:rsidR="00587D4D" w:rsidRDefault="00587D4D" w:rsidP="00BA4A2D">
      <w:pPr>
        <w:pStyle w:val="Heading1"/>
        <w:jc w:val="center"/>
        <w:rPr>
          <w:shd w:val="clear" w:color="auto" w:fill="FFFFFF"/>
        </w:rPr>
      </w:pPr>
      <w:bookmarkStart w:id="74" w:name="_Toc117501946"/>
      <w:r>
        <w:rPr>
          <w:shd w:val="clear" w:color="auto" w:fill="FFFFFF"/>
        </w:rPr>
        <w:lastRenderedPageBreak/>
        <w:t>Appendix G</w:t>
      </w:r>
      <w:bookmarkEnd w:id="74"/>
    </w:p>
    <w:p w14:paraId="3E38D7B5" w14:textId="29EF2EBC" w:rsidR="00587D4D" w:rsidRDefault="00587D4D" w:rsidP="00BA4A2D">
      <w:pPr>
        <w:widowControl w:val="0"/>
        <w:spacing w:after="0"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Model </w:t>
      </w:r>
      <w:r w:rsidR="009B0B62">
        <w:rPr>
          <w:rFonts w:ascii="Times New Roman" w:hAnsi="Times New Roman" w:cs="Times New Roman"/>
          <w:color w:val="000000"/>
          <w:sz w:val="24"/>
          <w:szCs w:val="24"/>
          <w:shd w:val="clear" w:color="auto" w:fill="FFFFFF"/>
        </w:rPr>
        <w:t xml:space="preserve">Three </w:t>
      </w:r>
      <w:r>
        <w:rPr>
          <w:rFonts w:ascii="Times New Roman" w:hAnsi="Times New Roman" w:cs="Times New Roman"/>
          <w:color w:val="000000"/>
          <w:sz w:val="24"/>
          <w:szCs w:val="24"/>
          <w:shd w:val="clear" w:color="auto" w:fill="FFFFFF"/>
        </w:rPr>
        <w:t xml:space="preserve">Fit and </w:t>
      </w:r>
      <w:r w:rsidR="006B0EB7">
        <w:rPr>
          <w:rFonts w:ascii="Times New Roman" w:hAnsi="Times New Roman" w:cs="Times New Roman"/>
          <w:color w:val="000000"/>
          <w:sz w:val="24"/>
          <w:szCs w:val="24"/>
          <w:shd w:val="clear" w:color="auto" w:fill="FFFFFF"/>
        </w:rPr>
        <w:t>Significance</w:t>
      </w:r>
    </w:p>
    <w:p w14:paraId="1151750E" w14:textId="4994B802" w:rsidR="00C80344" w:rsidRDefault="00C80344" w:rsidP="00AF506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Table G1</w:t>
      </w:r>
    </w:p>
    <w:p w14:paraId="69640A54" w14:textId="77777777" w:rsidR="00A113D5" w:rsidRDefault="00A113D5" w:rsidP="00BA4A2D">
      <w:pPr>
        <w:widowControl w:val="0"/>
        <w:spacing w:after="0" w:line="240" w:lineRule="auto"/>
        <w:rPr>
          <w:rFonts w:ascii="Times New Roman" w:hAnsi="Times New Roman" w:cs="Times New Roman"/>
          <w:sz w:val="24"/>
          <w:szCs w:val="24"/>
        </w:rPr>
      </w:pPr>
    </w:p>
    <w:p w14:paraId="7D045F04" w14:textId="722E21F3" w:rsidR="00C80344" w:rsidRPr="002407A6" w:rsidRDefault="00C80344" w:rsidP="00BA4A2D">
      <w:pPr>
        <w:widowControl w:val="0"/>
        <w:spacing w:after="0" w:line="240" w:lineRule="auto"/>
        <w:rPr>
          <w:rFonts w:ascii="Times New Roman" w:hAnsi="Times New Roman" w:cs="Times New Roman"/>
          <w:i/>
          <w:sz w:val="24"/>
          <w:szCs w:val="24"/>
        </w:rPr>
      </w:pPr>
      <w:r w:rsidRPr="00D448B9">
        <w:rPr>
          <w:rFonts w:ascii="Times New Roman" w:hAnsi="Times New Roman" w:cs="Times New Roman"/>
          <w:i/>
          <w:sz w:val="24"/>
          <w:szCs w:val="24"/>
        </w:rPr>
        <w:t>Omnibus Tests of Model Coefficients</w:t>
      </w:r>
      <w:r>
        <w:rPr>
          <w:rFonts w:ascii="Times New Roman" w:hAnsi="Times New Roman" w:cs="Times New Roman"/>
          <w:i/>
          <w:sz w:val="24"/>
          <w:szCs w:val="24"/>
        </w:rPr>
        <w:t xml:space="preserve"> for Research Question #2</w:t>
      </w:r>
      <w:r w:rsidRPr="00D448B9">
        <w:rPr>
          <w:rFonts w:ascii="Times New Roman" w:hAnsi="Times New Roman" w:cs="Times New Roman"/>
          <w:i/>
          <w:sz w:val="24"/>
          <w:szCs w:val="24"/>
        </w:rPr>
        <w:t xml:space="preserve"> –</w:t>
      </w:r>
      <w:r>
        <w:rPr>
          <w:rFonts w:ascii="Times New Roman" w:hAnsi="Times New Roman" w:cs="Times New Roman"/>
          <w:i/>
          <w:sz w:val="24"/>
          <w:szCs w:val="24"/>
        </w:rPr>
        <w:t xml:space="preserve"> Women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
      <w:tblGrid>
        <w:gridCol w:w="860"/>
        <w:gridCol w:w="1697"/>
        <w:gridCol w:w="863"/>
        <w:gridCol w:w="1260"/>
      </w:tblGrid>
      <w:tr w:rsidR="00C80344" w14:paraId="738CB8B8" w14:textId="77777777" w:rsidTr="00BA4A2D">
        <w:trPr>
          <w:trHeight w:hRule="exact" w:val="344"/>
        </w:trPr>
        <w:tc>
          <w:tcPr>
            <w:tcW w:w="860" w:type="dxa"/>
            <w:tcBorders>
              <w:top w:val="single" w:sz="8" w:space="0" w:color="auto"/>
              <w:bottom w:val="single" w:sz="4" w:space="0" w:color="auto"/>
            </w:tcBorders>
            <w:vAlign w:val="center"/>
          </w:tcPr>
          <w:p w14:paraId="2BBE20DA" w14:textId="77777777" w:rsidR="00C80344" w:rsidRPr="00860722" w:rsidRDefault="00C80344" w:rsidP="00BA4A2D">
            <w:pPr>
              <w:widowControl w:val="0"/>
              <w:spacing w:after="0" w:line="240" w:lineRule="auto"/>
              <w:jc w:val="center"/>
              <w:rPr>
                <w:i/>
              </w:rPr>
            </w:pPr>
          </w:p>
        </w:tc>
        <w:tc>
          <w:tcPr>
            <w:tcW w:w="1697" w:type="dxa"/>
            <w:tcBorders>
              <w:top w:val="single" w:sz="8" w:space="0" w:color="auto"/>
              <w:bottom w:val="single" w:sz="4" w:space="0" w:color="auto"/>
            </w:tcBorders>
          </w:tcPr>
          <w:p w14:paraId="37FF2389" w14:textId="77777777" w:rsidR="00C80344" w:rsidRPr="00D448B9" w:rsidRDefault="00C80344" w:rsidP="00BA4A2D">
            <w:pPr>
              <w:widowControl w:val="0"/>
              <w:spacing w:after="0" w:line="240" w:lineRule="auto"/>
              <w:jc w:val="center"/>
            </w:pPr>
            <w:r>
              <w:t>Chi-Square</w:t>
            </w:r>
          </w:p>
        </w:tc>
        <w:tc>
          <w:tcPr>
            <w:tcW w:w="863" w:type="dxa"/>
            <w:tcBorders>
              <w:top w:val="single" w:sz="8" w:space="0" w:color="auto"/>
              <w:bottom w:val="single" w:sz="4" w:space="0" w:color="auto"/>
            </w:tcBorders>
          </w:tcPr>
          <w:p w14:paraId="52031E87" w14:textId="77777777" w:rsidR="00C80344" w:rsidRPr="00D448B9" w:rsidRDefault="00C80344" w:rsidP="00BA4A2D">
            <w:pPr>
              <w:widowControl w:val="0"/>
              <w:spacing w:after="0" w:line="240" w:lineRule="auto"/>
              <w:jc w:val="center"/>
            </w:pPr>
            <w:r>
              <w:t>df</w:t>
            </w:r>
          </w:p>
        </w:tc>
        <w:tc>
          <w:tcPr>
            <w:tcW w:w="1260" w:type="dxa"/>
            <w:tcBorders>
              <w:top w:val="single" w:sz="8" w:space="0" w:color="auto"/>
              <w:bottom w:val="single" w:sz="4" w:space="0" w:color="auto"/>
            </w:tcBorders>
          </w:tcPr>
          <w:p w14:paraId="5CB70020" w14:textId="77777777" w:rsidR="00C80344" w:rsidRPr="00D448B9" w:rsidRDefault="00C80344" w:rsidP="00BA4A2D">
            <w:pPr>
              <w:widowControl w:val="0"/>
              <w:spacing w:after="0" w:line="240" w:lineRule="auto"/>
              <w:jc w:val="center"/>
            </w:pPr>
            <w:r>
              <w:t>Sig.</w:t>
            </w:r>
          </w:p>
        </w:tc>
      </w:tr>
      <w:tr w:rsidR="00C80344" w14:paraId="6E326D38" w14:textId="77777777" w:rsidTr="00BA4A2D">
        <w:trPr>
          <w:trHeight w:hRule="exact" w:val="343"/>
        </w:trPr>
        <w:tc>
          <w:tcPr>
            <w:tcW w:w="860" w:type="dxa"/>
            <w:tcBorders>
              <w:top w:val="single" w:sz="4" w:space="0" w:color="auto"/>
            </w:tcBorders>
            <w:vAlign w:val="center"/>
          </w:tcPr>
          <w:p w14:paraId="789756AA" w14:textId="77777777" w:rsidR="00C80344" w:rsidRDefault="00C80344" w:rsidP="00BA4A2D">
            <w:pPr>
              <w:widowControl w:val="0"/>
              <w:spacing w:after="0" w:line="240" w:lineRule="auto"/>
              <w:jc w:val="center"/>
            </w:pPr>
            <w:r>
              <w:t xml:space="preserve">Step </w:t>
            </w:r>
          </w:p>
        </w:tc>
        <w:tc>
          <w:tcPr>
            <w:tcW w:w="1697" w:type="dxa"/>
            <w:tcBorders>
              <w:top w:val="single" w:sz="4" w:space="0" w:color="auto"/>
            </w:tcBorders>
          </w:tcPr>
          <w:p w14:paraId="60E4A048" w14:textId="77777777" w:rsidR="00C80344" w:rsidRDefault="00C80344" w:rsidP="00BA4A2D">
            <w:pPr>
              <w:widowControl w:val="0"/>
              <w:spacing w:after="0" w:line="240" w:lineRule="auto"/>
              <w:jc w:val="center"/>
            </w:pPr>
            <w:r>
              <w:t>30.778</w:t>
            </w:r>
          </w:p>
        </w:tc>
        <w:tc>
          <w:tcPr>
            <w:tcW w:w="863" w:type="dxa"/>
            <w:tcBorders>
              <w:top w:val="single" w:sz="4" w:space="0" w:color="auto"/>
            </w:tcBorders>
          </w:tcPr>
          <w:p w14:paraId="3DE5D2FB" w14:textId="77777777" w:rsidR="00C80344" w:rsidRDefault="00C80344" w:rsidP="00BA4A2D">
            <w:pPr>
              <w:widowControl w:val="0"/>
              <w:spacing w:after="0" w:line="240" w:lineRule="auto"/>
              <w:jc w:val="center"/>
            </w:pPr>
            <w:r>
              <w:t>6</w:t>
            </w:r>
          </w:p>
        </w:tc>
        <w:tc>
          <w:tcPr>
            <w:tcW w:w="1260" w:type="dxa"/>
            <w:tcBorders>
              <w:top w:val="single" w:sz="4" w:space="0" w:color="auto"/>
            </w:tcBorders>
          </w:tcPr>
          <w:p w14:paraId="34DBC572" w14:textId="77777777" w:rsidR="00C80344" w:rsidRDefault="00C80344" w:rsidP="00BA4A2D">
            <w:pPr>
              <w:widowControl w:val="0"/>
              <w:spacing w:after="0" w:line="240" w:lineRule="auto"/>
              <w:jc w:val="center"/>
            </w:pPr>
            <w:r>
              <w:t>&lt;.001</w:t>
            </w:r>
          </w:p>
        </w:tc>
      </w:tr>
      <w:tr w:rsidR="00C80344" w14:paraId="50040B05" w14:textId="77777777" w:rsidTr="00BA4A2D">
        <w:trPr>
          <w:trHeight w:hRule="exact" w:val="351"/>
        </w:trPr>
        <w:tc>
          <w:tcPr>
            <w:tcW w:w="860" w:type="dxa"/>
            <w:vAlign w:val="center"/>
          </w:tcPr>
          <w:p w14:paraId="1F94F023" w14:textId="77777777" w:rsidR="00C80344" w:rsidRDefault="00C80344" w:rsidP="00BA4A2D">
            <w:pPr>
              <w:widowControl w:val="0"/>
              <w:spacing w:after="0" w:line="240" w:lineRule="auto"/>
              <w:jc w:val="center"/>
            </w:pPr>
            <w:r>
              <w:t>Block</w:t>
            </w:r>
          </w:p>
        </w:tc>
        <w:tc>
          <w:tcPr>
            <w:tcW w:w="1697" w:type="dxa"/>
          </w:tcPr>
          <w:p w14:paraId="2FCD2CAF" w14:textId="77777777" w:rsidR="00C80344" w:rsidRDefault="00C80344" w:rsidP="00BA4A2D">
            <w:pPr>
              <w:widowControl w:val="0"/>
              <w:spacing w:after="0" w:line="240" w:lineRule="auto"/>
              <w:jc w:val="center"/>
            </w:pPr>
            <w:r>
              <w:t>30.778</w:t>
            </w:r>
          </w:p>
        </w:tc>
        <w:tc>
          <w:tcPr>
            <w:tcW w:w="863" w:type="dxa"/>
          </w:tcPr>
          <w:p w14:paraId="6D37F15D" w14:textId="77777777" w:rsidR="00C80344" w:rsidRDefault="00C80344" w:rsidP="00BA4A2D">
            <w:pPr>
              <w:widowControl w:val="0"/>
              <w:spacing w:after="0" w:line="240" w:lineRule="auto"/>
              <w:jc w:val="center"/>
            </w:pPr>
            <w:r>
              <w:t>6</w:t>
            </w:r>
          </w:p>
        </w:tc>
        <w:tc>
          <w:tcPr>
            <w:tcW w:w="1260" w:type="dxa"/>
          </w:tcPr>
          <w:p w14:paraId="16337B0B" w14:textId="77777777" w:rsidR="00C80344" w:rsidRDefault="00C80344" w:rsidP="00BA4A2D">
            <w:pPr>
              <w:widowControl w:val="0"/>
              <w:spacing w:after="0" w:line="240" w:lineRule="auto"/>
              <w:jc w:val="center"/>
            </w:pPr>
            <w:r>
              <w:t>&lt;.001</w:t>
            </w:r>
          </w:p>
        </w:tc>
      </w:tr>
      <w:tr w:rsidR="00C80344" w14:paraId="00294B97" w14:textId="77777777" w:rsidTr="00BA4A2D">
        <w:trPr>
          <w:trHeight w:hRule="exact" w:val="270"/>
        </w:trPr>
        <w:tc>
          <w:tcPr>
            <w:tcW w:w="860" w:type="dxa"/>
            <w:tcBorders>
              <w:bottom w:val="single" w:sz="4" w:space="0" w:color="auto"/>
            </w:tcBorders>
            <w:vAlign w:val="center"/>
          </w:tcPr>
          <w:p w14:paraId="4627973B" w14:textId="77777777" w:rsidR="00C80344" w:rsidRDefault="00C80344" w:rsidP="00BA4A2D">
            <w:pPr>
              <w:widowControl w:val="0"/>
              <w:spacing w:after="0" w:line="240" w:lineRule="auto"/>
              <w:jc w:val="center"/>
            </w:pPr>
            <w:r>
              <w:t>Model</w:t>
            </w:r>
          </w:p>
        </w:tc>
        <w:tc>
          <w:tcPr>
            <w:tcW w:w="1697" w:type="dxa"/>
            <w:tcBorders>
              <w:bottom w:val="single" w:sz="4" w:space="0" w:color="auto"/>
            </w:tcBorders>
          </w:tcPr>
          <w:p w14:paraId="77E19928" w14:textId="77777777" w:rsidR="00C80344" w:rsidRDefault="00C80344" w:rsidP="00BA4A2D">
            <w:pPr>
              <w:widowControl w:val="0"/>
              <w:spacing w:after="0" w:line="240" w:lineRule="auto"/>
              <w:jc w:val="center"/>
            </w:pPr>
            <w:r>
              <w:t>30.778</w:t>
            </w:r>
          </w:p>
        </w:tc>
        <w:tc>
          <w:tcPr>
            <w:tcW w:w="863" w:type="dxa"/>
            <w:tcBorders>
              <w:bottom w:val="single" w:sz="4" w:space="0" w:color="auto"/>
            </w:tcBorders>
          </w:tcPr>
          <w:p w14:paraId="24BD94DC" w14:textId="77777777" w:rsidR="00C80344" w:rsidRDefault="00C80344" w:rsidP="00BA4A2D">
            <w:pPr>
              <w:widowControl w:val="0"/>
              <w:spacing w:after="0" w:line="240" w:lineRule="auto"/>
              <w:jc w:val="center"/>
            </w:pPr>
            <w:r>
              <w:t>6</w:t>
            </w:r>
          </w:p>
        </w:tc>
        <w:tc>
          <w:tcPr>
            <w:tcW w:w="1260" w:type="dxa"/>
            <w:tcBorders>
              <w:bottom w:val="single" w:sz="4" w:space="0" w:color="auto"/>
            </w:tcBorders>
          </w:tcPr>
          <w:p w14:paraId="1804832E" w14:textId="77777777" w:rsidR="00C80344" w:rsidRDefault="00C80344" w:rsidP="00BA4A2D">
            <w:pPr>
              <w:widowControl w:val="0"/>
              <w:spacing w:after="0" w:line="240" w:lineRule="auto"/>
              <w:jc w:val="center"/>
            </w:pPr>
            <w:r>
              <w:t>&lt;.001</w:t>
            </w:r>
          </w:p>
        </w:tc>
      </w:tr>
    </w:tbl>
    <w:p w14:paraId="4B458518" w14:textId="77777777" w:rsidR="00C80344" w:rsidRDefault="00C80344" w:rsidP="00BA4A2D">
      <w:pPr>
        <w:widowControl w:val="0"/>
        <w:spacing w:after="0" w:line="240" w:lineRule="auto"/>
        <w:rPr>
          <w:rFonts w:ascii="Times New Roman" w:hAnsi="Times New Roman" w:cs="Times New Roman"/>
          <w:sz w:val="24"/>
          <w:szCs w:val="24"/>
        </w:rPr>
      </w:pPr>
    </w:p>
    <w:p w14:paraId="450FCE20" w14:textId="68E17D0F" w:rsidR="00C80344" w:rsidRDefault="00C80344" w:rsidP="00BA4A2D">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Table G2</w:t>
      </w:r>
    </w:p>
    <w:p w14:paraId="2D87A98D" w14:textId="77777777" w:rsidR="00B21464" w:rsidRDefault="00B21464" w:rsidP="00BA4A2D">
      <w:pPr>
        <w:widowControl w:val="0"/>
        <w:spacing w:after="0" w:line="240" w:lineRule="auto"/>
        <w:contextualSpacing/>
        <w:rPr>
          <w:rFonts w:ascii="Times New Roman" w:hAnsi="Times New Roman" w:cs="Times New Roman"/>
          <w:sz w:val="24"/>
          <w:szCs w:val="24"/>
        </w:rPr>
      </w:pPr>
    </w:p>
    <w:p w14:paraId="0A6372C7" w14:textId="16861E44" w:rsidR="00C80344" w:rsidRDefault="00C80344" w:rsidP="00BA4A2D">
      <w:pPr>
        <w:widowControl w:val="0"/>
        <w:spacing w:after="0" w:line="240" w:lineRule="auto"/>
        <w:contextualSpacing/>
        <w:rPr>
          <w:rFonts w:ascii="Times New Roman" w:hAnsi="Times New Roman" w:cs="Times New Roman"/>
          <w:i/>
          <w:sz w:val="24"/>
          <w:szCs w:val="24"/>
        </w:rPr>
      </w:pPr>
      <w:r w:rsidRPr="00D448B9">
        <w:rPr>
          <w:rFonts w:ascii="Times New Roman" w:hAnsi="Times New Roman" w:cs="Times New Roman"/>
          <w:i/>
          <w:sz w:val="24"/>
          <w:szCs w:val="24"/>
        </w:rPr>
        <w:t>Model Summary</w:t>
      </w:r>
      <w:r>
        <w:rPr>
          <w:rFonts w:ascii="Times New Roman" w:hAnsi="Times New Roman" w:cs="Times New Roman"/>
          <w:i/>
          <w:sz w:val="24"/>
          <w:szCs w:val="24"/>
        </w:rPr>
        <w:t xml:space="preserve"> for Research Question #2</w:t>
      </w:r>
      <w:r w:rsidRPr="00D448B9">
        <w:rPr>
          <w:rFonts w:ascii="Times New Roman" w:hAnsi="Times New Roman" w:cs="Times New Roman"/>
          <w:i/>
          <w:sz w:val="24"/>
          <w:szCs w:val="24"/>
        </w:rPr>
        <w:t xml:space="preserve"> – </w:t>
      </w:r>
      <w:r>
        <w:rPr>
          <w:rFonts w:ascii="Times New Roman" w:hAnsi="Times New Roman" w:cs="Times New Roman"/>
          <w:i/>
          <w:sz w:val="24"/>
          <w:szCs w:val="24"/>
        </w:rPr>
        <w:t>Women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
      <w:tblGrid>
        <w:gridCol w:w="1697"/>
        <w:gridCol w:w="1697"/>
        <w:gridCol w:w="1697"/>
      </w:tblGrid>
      <w:tr w:rsidR="00C80344" w14:paraId="73B7650B" w14:textId="77777777" w:rsidTr="00BA4A2D">
        <w:trPr>
          <w:trHeight w:hRule="exact" w:val="623"/>
        </w:trPr>
        <w:tc>
          <w:tcPr>
            <w:tcW w:w="1697" w:type="dxa"/>
            <w:tcBorders>
              <w:top w:val="single" w:sz="8" w:space="0" w:color="auto"/>
              <w:bottom w:val="single" w:sz="4" w:space="0" w:color="auto"/>
            </w:tcBorders>
          </w:tcPr>
          <w:p w14:paraId="2436E4E8" w14:textId="77777777" w:rsidR="00C80344" w:rsidRPr="00D448B9" w:rsidRDefault="00C80344" w:rsidP="00BA4A2D">
            <w:pPr>
              <w:widowControl w:val="0"/>
              <w:spacing w:after="0" w:line="240" w:lineRule="auto"/>
              <w:jc w:val="center"/>
            </w:pPr>
            <w:r>
              <w:t>-2 Log likelihood</w:t>
            </w:r>
          </w:p>
        </w:tc>
        <w:tc>
          <w:tcPr>
            <w:tcW w:w="1697" w:type="dxa"/>
            <w:tcBorders>
              <w:top w:val="single" w:sz="8" w:space="0" w:color="auto"/>
              <w:bottom w:val="single" w:sz="4" w:space="0" w:color="auto"/>
            </w:tcBorders>
          </w:tcPr>
          <w:p w14:paraId="68F85CFD" w14:textId="77777777" w:rsidR="00C80344" w:rsidRPr="00D448B9" w:rsidRDefault="00C80344" w:rsidP="00BA4A2D">
            <w:pPr>
              <w:widowControl w:val="0"/>
              <w:spacing w:after="0" w:line="240" w:lineRule="auto"/>
              <w:jc w:val="center"/>
            </w:pPr>
            <w:r>
              <w:t>Cox &amp; Snell R Square</w:t>
            </w:r>
          </w:p>
        </w:tc>
        <w:tc>
          <w:tcPr>
            <w:tcW w:w="1697" w:type="dxa"/>
            <w:tcBorders>
              <w:top w:val="single" w:sz="8" w:space="0" w:color="auto"/>
              <w:bottom w:val="single" w:sz="4" w:space="0" w:color="auto"/>
            </w:tcBorders>
          </w:tcPr>
          <w:p w14:paraId="1B144568" w14:textId="77777777" w:rsidR="00C80344" w:rsidRPr="00D448B9" w:rsidRDefault="00C80344" w:rsidP="00BA4A2D">
            <w:pPr>
              <w:widowControl w:val="0"/>
              <w:spacing w:after="0" w:line="240" w:lineRule="auto"/>
              <w:jc w:val="center"/>
            </w:pPr>
            <w:r>
              <w:t>Nagelkerke R Square</w:t>
            </w:r>
          </w:p>
        </w:tc>
      </w:tr>
      <w:tr w:rsidR="00C80344" w14:paraId="0E9B8580" w14:textId="77777777" w:rsidTr="00BA4A2D">
        <w:trPr>
          <w:trHeight w:hRule="exact" w:val="262"/>
        </w:trPr>
        <w:tc>
          <w:tcPr>
            <w:tcW w:w="1697" w:type="dxa"/>
            <w:tcBorders>
              <w:top w:val="single" w:sz="4" w:space="0" w:color="auto"/>
              <w:bottom w:val="single" w:sz="4" w:space="0" w:color="auto"/>
            </w:tcBorders>
          </w:tcPr>
          <w:p w14:paraId="5DAC5506" w14:textId="77777777" w:rsidR="00C80344" w:rsidRDefault="00C80344" w:rsidP="00BA4A2D">
            <w:pPr>
              <w:widowControl w:val="0"/>
              <w:spacing w:after="0" w:line="240" w:lineRule="auto"/>
              <w:jc w:val="center"/>
            </w:pPr>
            <w:r>
              <w:t>28.820</w:t>
            </w:r>
            <w:r w:rsidRPr="002C2B1A">
              <w:rPr>
                <w:vertAlign w:val="superscript"/>
              </w:rPr>
              <w:t>a</w:t>
            </w:r>
          </w:p>
        </w:tc>
        <w:tc>
          <w:tcPr>
            <w:tcW w:w="1697" w:type="dxa"/>
            <w:tcBorders>
              <w:top w:val="single" w:sz="4" w:space="0" w:color="auto"/>
              <w:bottom w:val="single" w:sz="4" w:space="0" w:color="auto"/>
            </w:tcBorders>
          </w:tcPr>
          <w:p w14:paraId="3746B51A" w14:textId="77777777" w:rsidR="00C80344" w:rsidRDefault="00C80344" w:rsidP="00BA4A2D">
            <w:pPr>
              <w:widowControl w:val="0"/>
              <w:spacing w:after="0" w:line="240" w:lineRule="auto"/>
              <w:jc w:val="center"/>
            </w:pPr>
            <w:r>
              <w:t>.406</w:t>
            </w:r>
          </w:p>
        </w:tc>
        <w:tc>
          <w:tcPr>
            <w:tcW w:w="1697" w:type="dxa"/>
            <w:tcBorders>
              <w:top w:val="single" w:sz="4" w:space="0" w:color="auto"/>
              <w:bottom w:val="single" w:sz="4" w:space="0" w:color="auto"/>
            </w:tcBorders>
          </w:tcPr>
          <w:p w14:paraId="2E9E6BD5" w14:textId="77777777" w:rsidR="00C80344" w:rsidRDefault="00C80344" w:rsidP="00BA4A2D">
            <w:pPr>
              <w:widowControl w:val="0"/>
              <w:spacing w:after="0" w:line="240" w:lineRule="auto"/>
              <w:jc w:val="center"/>
            </w:pPr>
            <w:r>
              <w:t>.639</w:t>
            </w:r>
          </w:p>
        </w:tc>
      </w:tr>
    </w:tbl>
    <w:p w14:paraId="7F5D3F09" w14:textId="77777777" w:rsidR="00C80344" w:rsidRPr="002C2B1A" w:rsidRDefault="00C80344" w:rsidP="00BA4A2D">
      <w:pPr>
        <w:pStyle w:val="ListParagraph"/>
        <w:widowControl w:val="0"/>
        <w:numPr>
          <w:ilvl w:val="0"/>
          <w:numId w:val="14"/>
        </w:numPr>
        <w:rPr>
          <w:sz w:val="20"/>
          <w:szCs w:val="20"/>
        </w:rPr>
      </w:pPr>
      <w:r w:rsidRPr="002C2B1A">
        <w:rPr>
          <w:sz w:val="20"/>
          <w:szCs w:val="20"/>
        </w:rPr>
        <w:t>Estimation te</w:t>
      </w:r>
      <w:r>
        <w:rPr>
          <w:sz w:val="20"/>
          <w:szCs w:val="20"/>
        </w:rPr>
        <w:t>rminated at iteration number 8</w:t>
      </w:r>
      <w:r w:rsidRPr="002C2B1A">
        <w:rPr>
          <w:sz w:val="20"/>
          <w:szCs w:val="20"/>
        </w:rPr>
        <w:t xml:space="preserve"> because parameter estimates changed by less than .001.</w:t>
      </w:r>
    </w:p>
    <w:p w14:paraId="37483DAC" w14:textId="77777777" w:rsidR="00C80344" w:rsidRDefault="00C80344" w:rsidP="00BA4A2D">
      <w:pPr>
        <w:widowControl w:val="0"/>
        <w:spacing w:after="0" w:line="240" w:lineRule="auto"/>
        <w:rPr>
          <w:rFonts w:ascii="Times New Roman" w:hAnsi="Times New Roman" w:cs="Times New Roman"/>
          <w:sz w:val="24"/>
          <w:szCs w:val="24"/>
        </w:rPr>
      </w:pPr>
    </w:p>
    <w:p w14:paraId="6972BDA2" w14:textId="6101A442" w:rsidR="00C80344" w:rsidRDefault="00C80344" w:rsidP="00AF506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Table G3</w:t>
      </w:r>
    </w:p>
    <w:p w14:paraId="17075C29" w14:textId="77777777" w:rsidR="00A113D5" w:rsidRDefault="00A113D5" w:rsidP="00BA4A2D">
      <w:pPr>
        <w:widowControl w:val="0"/>
        <w:spacing w:after="0" w:line="240" w:lineRule="auto"/>
        <w:rPr>
          <w:rFonts w:ascii="Times New Roman" w:hAnsi="Times New Roman" w:cs="Times New Roman"/>
          <w:sz w:val="24"/>
          <w:szCs w:val="24"/>
        </w:rPr>
      </w:pPr>
    </w:p>
    <w:p w14:paraId="71E1DAFF" w14:textId="78F5695C" w:rsidR="00C80344" w:rsidRPr="002C2B1A" w:rsidRDefault="006B0EB7" w:rsidP="00BA4A2D">
      <w:pPr>
        <w:widowControl w:val="0"/>
        <w:spacing w:after="0" w:line="240" w:lineRule="auto"/>
        <w:rPr>
          <w:rFonts w:ascii="Times New Roman" w:hAnsi="Times New Roman" w:cs="Times New Roman"/>
          <w:i/>
          <w:sz w:val="24"/>
          <w:szCs w:val="24"/>
        </w:rPr>
      </w:pPr>
      <w:r w:rsidRPr="002C2B1A">
        <w:rPr>
          <w:rFonts w:ascii="Times New Roman" w:hAnsi="Times New Roman" w:cs="Times New Roman"/>
          <w:i/>
          <w:sz w:val="24"/>
          <w:szCs w:val="24"/>
        </w:rPr>
        <w:t>Classification</w:t>
      </w:r>
      <w:r w:rsidR="00C80344" w:rsidRPr="002C2B1A">
        <w:rPr>
          <w:rFonts w:ascii="Times New Roman" w:hAnsi="Times New Roman" w:cs="Times New Roman"/>
          <w:i/>
          <w:sz w:val="24"/>
          <w:szCs w:val="24"/>
        </w:rPr>
        <w:t xml:space="preserve"> Table</w:t>
      </w:r>
      <w:r w:rsidR="00C80344">
        <w:rPr>
          <w:rFonts w:ascii="Times New Roman" w:hAnsi="Times New Roman" w:cs="Times New Roman"/>
          <w:i/>
          <w:sz w:val="24"/>
          <w:szCs w:val="24"/>
        </w:rPr>
        <w:t xml:space="preserve"> for Research Question #2</w:t>
      </w:r>
      <w:r w:rsidR="00C80344" w:rsidRPr="002C2B1A">
        <w:rPr>
          <w:rFonts w:ascii="Times New Roman" w:hAnsi="Times New Roman" w:cs="Times New Roman"/>
          <w:i/>
          <w:sz w:val="24"/>
          <w:szCs w:val="24"/>
        </w:rPr>
        <w:t xml:space="preserve"> – </w:t>
      </w:r>
      <w:r w:rsidR="00C80344">
        <w:rPr>
          <w:rFonts w:ascii="Times New Roman" w:hAnsi="Times New Roman" w:cs="Times New Roman"/>
          <w:i/>
          <w:sz w:val="24"/>
          <w:szCs w:val="24"/>
        </w:rPr>
        <w:t xml:space="preserve">Women </w:t>
      </w:r>
      <w:r>
        <w:rPr>
          <w:rFonts w:ascii="Times New Roman" w:hAnsi="Times New Roman" w:cs="Times New Roman"/>
          <w:i/>
          <w:sz w:val="24"/>
          <w:szCs w:val="24"/>
        </w:rPr>
        <w:t>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
      <w:tblGrid>
        <w:gridCol w:w="1555"/>
        <w:gridCol w:w="875"/>
        <w:gridCol w:w="1490"/>
        <w:gridCol w:w="760"/>
        <w:gridCol w:w="2160"/>
      </w:tblGrid>
      <w:tr w:rsidR="00C80344" w14:paraId="01D8FACC" w14:textId="77777777" w:rsidTr="00BA4A2D">
        <w:trPr>
          <w:trHeight w:hRule="exact" w:val="290"/>
        </w:trPr>
        <w:tc>
          <w:tcPr>
            <w:tcW w:w="1555" w:type="dxa"/>
            <w:tcBorders>
              <w:top w:val="single" w:sz="8" w:space="0" w:color="auto"/>
            </w:tcBorders>
            <w:vAlign w:val="center"/>
          </w:tcPr>
          <w:p w14:paraId="009B5F1A" w14:textId="77777777" w:rsidR="00C80344" w:rsidRPr="00860722" w:rsidRDefault="00C80344" w:rsidP="00BA4A2D">
            <w:pPr>
              <w:widowControl w:val="0"/>
              <w:spacing w:after="0" w:line="240" w:lineRule="auto"/>
              <w:jc w:val="center"/>
            </w:pPr>
          </w:p>
        </w:tc>
        <w:tc>
          <w:tcPr>
            <w:tcW w:w="875" w:type="dxa"/>
            <w:tcBorders>
              <w:top w:val="single" w:sz="8" w:space="0" w:color="auto"/>
            </w:tcBorders>
            <w:vAlign w:val="center"/>
          </w:tcPr>
          <w:p w14:paraId="639C22AA" w14:textId="77777777" w:rsidR="00C80344" w:rsidRPr="007E2F5D" w:rsidRDefault="00C80344" w:rsidP="00BA4A2D">
            <w:pPr>
              <w:widowControl w:val="0"/>
              <w:spacing w:after="0" w:line="240" w:lineRule="auto"/>
              <w:jc w:val="center"/>
              <w:rPr>
                <w:i/>
              </w:rPr>
            </w:pPr>
          </w:p>
        </w:tc>
        <w:tc>
          <w:tcPr>
            <w:tcW w:w="4410" w:type="dxa"/>
            <w:gridSpan w:val="3"/>
            <w:tcBorders>
              <w:top w:val="single" w:sz="8" w:space="0" w:color="auto"/>
            </w:tcBorders>
            <w:vAlign w:val="center"/>
          </w:tcPr>
          <w:p w14:paraId="77EAB2C4" w14:textId="77777777" w:rsidR="00C80344" w:rsidRPr="005033A9" w:rsidRDefault="00C80344" w:rsidP="00BA4A2D">
            <w:pPr>
              <w:widowControl w:val="0"/>
              <w:spacing w:after="0" w:line="240" w:lineRule="auto"/>
              <w:jc w:val="center"/>
            </w:pPr>
            <w:r>
              <w:t>Predicted</w:t>
            </w:r>
          </w:p>
        </w:tc>
      </w:tr>
      <w:tr w:rsidR="00C80344" w14:paraId="49B479DB" w14:textId="77777777" w:rsidTr="00BA4A2D">
        <w:trPr>
          <w:trHeight w:hRule="exact" w:val="252"/>
        </w:trPr>
        <w:tc>
          <w:tcPr>
            <w:tcW w:w="1555" w:type="dxa"/>
          </w:tcPr>
          <w:p w14:paraId="7C1A25AB" w14:textId="77777777" w:rsidR="00C80344" w:rsidRDefault="00C80344" w:rsidP="00BA4A2D">
            <w:pPr>
              <w:widowControl w:val="0"/>
              <w:spacing w:after="0" w:line="240" w:lineRule="auto"/>
              <w:jc w:val="center"/>
              <w:rPr>
                <w:i/>
              </w:rPr>
            </w:pPr>
          </w:p>
        </w:tc>
        <w:tc>
          <w:tcPr>
            <w:tcW w:w="875" w:type="dxa"/>
          </w:tcPr>
          <w:p w14:paraId="12240EDB" w14:textId="77777777" w:rsidR="00C80344" w:rsidRDefault="00C80344" w:rsidP="00BA4A2D">
            <w:pPr>
              <w:widowControl w:val="0"/>
              <w:spacing w:after="0" w:line="240" w:lineRule="auto"/>
              <w:jc w:val="center"/>
              <w:rPr>
                <w:i/>
              </w:rPr>
            </w:pPr>
          </w:p>
        </w:tc>
        <w:tc>
          <w:tcPr>
            <w:tcW w:w="2250" w:type="dxa"/>
            <w:gridSpan w:val="2"/>
          </w:tcPr>
          <w:p w14:paraId="0C5AAA2C" w14:textId="1AF8116F" w:rsidR="00C80344" w:rsidRPr="005033A9" w:rsidRDefault="00C80344" w:rsidP="00BA4A2D">
            <w:pPr>
              <w:widowControl w:val="0"/>
              <w:spacing w:after="0" w:line="240" w:lineRule="auto"/>
              <w:jc w:val="center"/>
            </w:pPr>
            <w:r>
              <w:t>ENRD</w:t>
            </w:r>
          </w:p>
        </w:tc>
        <w:tc>
          <w:tcPr>
            <w:tcW w:w="2160" w:type="dxa"/>
          </w:tcPr>
          <w:p w14:paraId="0D3F1FD2" w14:textId="77777777" w:rsidR="00C80344" w:rsidRDefault="00C80344" w:rsidP="00BA4A2D">
            <w:pPr>
              <w:widowControl w:val="0"/>
              <w:spacing w:after="0" w:line="240" w:lineRule="auto"/>
              <w:jc w:val="center"/>
              <w:rPr>
                <w:i/>
              </w:rPr>
            </w:pPr>
          </w:p>
        </w:tc>
      </w:tr>
      <w:tr w:rsidR="00C80344" w14:paraId="5C44303F" w14:textId="77777777" w:rsidTr="00BA4A2D">
        <w:trPr>
          <w:trHeight w:hRule="exact" w:val="315"/>
        </w:trPr>
        <w:tc>
          <w:tcPr>
            <w:tcW w:w="1555" w:type="dxa"/>
            <w:tcBorders>
              <w:bottom w:val="single" w:sz="4" w:space="0" w:color="auto"/>
            </w:tcBorders>
          </w:tcPr>
          <w:p w14:paraId="2BB393BC" w14:textId="77777777" w:rsidR="00C80344" w:rsidRPr="005033A9" w:rsidRDefault="00C80344" w:rsidP="00BA4A2D">
            <w:pPr>
              <w:widowControl w:val="0"/>
              <w:spacing w:after="0" w:line="240" w:lineRule="auto"/>
              <w:jc w:val="center"/>
            </w:pPr>
            <w:r>
              <w:t>Observed</w:t>
            </w:r>
          </w:p>
        </w:tc>
        <w:tc>
          <w:tcPr>
            <w:tcW w:w="875" w:type="dxa"/>
            <w:tcBorders>
              <w:bottom w:val="single" w:sz="4" w:space="0" w:color="auto"/>
            </w:tcBorders>
          </w:tcPr>
          <w:p w14:paraId="23377096" w14:textId="77777777" w:rsidR="00C80344" w:rsidRPr="00860722" w:rsidRDefault="00C80344" w:rsidP="00BA4A2D">
            <w:pPr>
              <w:widowControl w:val="0"/>
              <w:spacing w:after="0" w:line="240" w:lineRule="auto"/>
              <w:jc w:val="center"/>
              <w:rPr>
                <w:i/>
              </w:rPr>
            </w:pPr>
          </w:p>
        </w:tc>
        <w:tc>
          <w:tcPr>
            <w:tcW w:w="1490" w:type="dxa"/>
            <w:tcBorders>
              <w:bottom w:val="single" w:sz="4" w:space="0" w:color="auto"/>
            </w:tcBorders>
          </w:tcPr>
          <w:p w14:paraId="20E6E371" w14:textId="77777777" w:rsidR="00C80344" w:rsidRPr="005033A9" w:rsidRDefault="00C80344" w:rsidP="00BA4A2D">
            <w:pPr>
              <w:widowControl w:val="0"/>
              <w:spacing w:after="0" w:line="240" w:lineRule="auto"/>
              <w:jc w:val="center"/>
            </w:pPr>
            <w:r w:rsidRPr="005033A9">
              <w:t>0</w:t>
            </w:r>
          </w:p>
        </w:tc>
        <w:tc>
          <w:tcPr>
            <w:tcW w:w="760" w:type="dxa"/>
            <w:tcBorders>
              <w:bottom w:val="single" w:sz="4" w:space="0" w:color="auto"/>
            </w:tcBorders>
          </w:tcPr>
          <w:p w14:paraId="54B01B53" w14:textId="39C182E0" w:rsidR="00C80344" w:rsidRPr="005033A9" w:rsidRDefault="00C80344" w:rsidP="00BA4A2D">
            <w:pPr>
              <w:widowControl w:val="0"/>
              <w:spacing w:after="0" w:line="240" w:lineRule="auto"/>
              <w:jc w:val="center"/>
            </w:pPr>
            <w:r w:rsidRPr="005033A9">
              <w:t>1</w:t>
            </w:r>
          </w:p>
        </w:tc>
        <w:tc>
          <w:tcPr>
            <w:tcW w:w="2160" w:type="dxa"/>
            <w:tcBorders>
              <w:bottom w:val="single" w:sz="4" w:space="0" w:color="auto"/>
            </w:tcBorders>
          </w:tcPr>
          <w:p w14:paraId="03151E9D" w14:textId="77777777" w:rsidR="00C80344" w:rsidRPr="005033A9" w:rsidRDefault="00C80344" w:rsidP="00BA4A2D">
            <w:pPr>
              <w:widowControl w:val="0"/>
              <w:spacing w:after="0" w:line="240" w:lineRule="auto"/>
              <w:jc w:val="center"/>
            </w:pPr>
            <w:r>
              <w:t>Percentage Correct</w:t>
            </w:r>
          </w:p>
        </w:tc>
      </w:tr>
      <w:tr w:rsidR="00C80344" w14:paraId="3ADB8BC2" w14:textId="77777777" w:rsidTr="00BA4A2D">
        <w:trPr>
          <w:trHeight w:hRule="exact" w:val="235"/>
        </w:trPr>
        <w:tc>
          <w:tcPr>
            <w:tcW w:w="1555" w:type="dxa"/>
            <w:tcBorders>
              <w:top w:val="single" w:sz="4" w:space="0" w:color="auto"/>
            </w:tcBorders>
          </w:tcPr>
          <w:p w14:paraId="3EFBB81B" w14:textId="77777777" w:rsidR="00C80344" w:rsidRDefault="00C80344" w:rsidP="00BA4A2D">
            <w:pPr>
              <w:widowControl w:val="0"/>
              <w:spacing w:after="0" w:line="240" w:lineRule="auto"/>
              <w:jc w:val="center"/>
            </w:pPr>
            <w:r>
              <w:t>ENRD</w:t>
            </w:r>
          </w:p>
        </w:tc>
        <w:tc>
          <w:tcPr>
            <w:tcW w:w="875" w:type="dxa"/>
            <w:tcBorders>
              <w:top w:val="single" w:sz="4" w:space="0" w:color="auto"/>
            </w:tcBorders>
          </w:tcPr>
          <w:p w14:paraId="59D2BEC5" w14:textId="77777777" w:rsidR="00C80344" w:rsidRDefault="00C80344" w:rsidP="00BA4A2D">
            <w:pPr>
              <w:widowControl w:val="0"/>
              <w:spacing w:after="0" w:line="240" w:lineRule="auto"/>
              <w:jc w:val="center"/>
            </w:pPr>
            <w:r>
              <w:t>0</w:t>
            </w:r>
          </w:p>
        </w:tc>
        <w:tc>
          <w:tcPr>
            <w:tcW w:w="1490" w:type="dxa"/>
            <w:tcBorders>
              <w:top w:val="single" w:sz="4" w:space="0" w:color="auto"/>
            </w:tcBorders>
          </w:tcPr>
          <w:p w14:paraId="04ED790A" w14:textId="77777777" w:rsidR="00C80344" w:rsidRDefault="00C80344" w:rsidP="00BA4A2D">
            <w:pPr>
              <w:widowControl w:val="0"/>
              <w:spacing w:after="0" w:line="240" w:lineRule="auto"/>
              <w:jc w:val="center"/>
            </w:pPr>
            <w:r>
              <w:t>46</w:t>
            </w:r>
          </w:p>
        </w:tc>
        <w:tc>
          <w:tcPr>
            <w:tcW w:w="760" w:type="dxa"/>
            <w:tcBorders>
              <w:top w:val="single" w:sz="4" w:space="0" w:color="auto"/>
            </w:tcBorders>
          </w:tcPr>
          <w:p w14:paraId="25493692" w14:textId="77777777" w:rsidR="00C80344" w:rsidRDefault="00C80344" w:rsidP="00BA4A2D">
            <w:pPr>
              <w:widowControl w:val="0"/>
              <w:spacing w:after="0" w:line="240" w:lineRule="auto"/>
              <w:jc w:val="center"/>
            </w:pPr>
            <w:r>
              <w:t>1</w:t>
            </w:r>
          </w:p>
        </w:tc>
        <w:tc>
          <w:tcPr>
            <w:tcW w:w="2160" w:type="dxa"/>
            <w:tcBorders>
              <w:top w:val="single" w:sz="4" w:space="0" w:color="auto"/>
            </w:tcBorders>
          </w:tcPr>
          <w:p w14:paraId="04BF52E3" w14:textId="77777777" w:rsidR="00C80344" w:rsidRDefault="00C80344" w:rsidP="00BA4A2D">
            <w:pPr>
              <w:widowControl w:val="0"/>
              <w:spacing w:after="0" w:line="240" w:lineRule="auto"/>
              <w:jc w:val="center"/>
            </w:pPr>
            <w:r>
              <w:t>97.9</w:t>
            </w:r>
          </w:p>
        </w:tc>
      </w:tr>
      <w:tr w:rsidR="00C80344" w14:paraId="4EA9DD04" w14:textId="77777777" w:rsidTr="00BA4A2D">
        <w:trPr>
          <w:trHeight w:hRule="exact" w:val="342"/>
        </w:trPr>
        <w:tc>
          <w:tcPr>
            <w:tcW w:w="1555" w:type="dxa"/>
          </w:tcPr>
          <w:p w14:paraId="138D5B49" w14:textId="77777777" w:rsidR="00C80344" w:rsidRDefault="00C80344" w:rsidP="00BA4A2D">
            <w:pPr>
              <w:widowControl w:val="0"/>
              <w:spacing w:after="0" w:line="240" w:lineRule="auto"/>
              <w:jc w:val="center"/>
            </w:pPr>
          </w:p>
        </w:tc>
        <w:tc>
          <w:tcPr>
            <w:tcW w:w="875" w:type="dxa"/>
          </w:tcPr>
          <w:p w14:paraId="30F3AFC6" w14:textId="77777777" w:rsidR="00C80344" w:rsidRDefault="00C80344" w:rsidP="00BA4A2D">
            <w:pPr>
              <w:widowControl w:val="0"/>
              <w:spacing w:after="0" w:line="240" w:lineRule="auto"/>
              <w:jc w:val="center"/>
            </w:pPr>
            <w:r>
              <w:t>1</w:t>
            </w:r>
          </w:p>
        </w:tc>
        <w:tc>
          <w:tcPr>
            <w:tcW w:w="1490" w:type="dxa"/>
          </w:tcPr>
          <w:p w14:paraId="0FAB17DF" w14:textId="77777777" w:rsidR="00C80344" w:rsidRDefault="00C80344" w:rsidP="00BA4A2D">
            <w:pPr>
              <w:widowControl w:val="0"/>
              <w:spacing w:after="0" w:line="240" w:lineRule="auto"/>
              <w:jc w:val="center"/>
            </w:pPr>
            <w:r>
              <w:t>3</w:t>
            </w:r>
          </w:p>
        </w:tc>
        <w:tc>
          <w:tcPr>
            <w:tcW w:w="760" w:type="dxa"/>
          </w:tcPr>
          <w:p w14:paraId="31BF90CB" w14:textId="77777777" w:rsidR="00C80344" w:rsidRDefault="00C80344" w:rsidP="00BA4A2D">
            <w:pPr>
              <w:widowControl w:val="0"/>
              <w:spacing w:after="0" w:line="240" w:lineRule="auto"/>
              <w:jc w:val="center"/>
            </w:pPr>
            <w:r>
              <w:t>9</w:t>
            </w:r>
          </w:p>
        </w:tc>
        <w:tc>
          <w:tcPr>
            <w:tcW w:w="2160" w:type="dxa"/>
          </w:tcPr>
          <w:p w14:paraId="1D2279DD" w14:textId="77777777" w:rsidR="00C80344" w:rsidRDefault="00C80344" w:rsidP="00BA4A2D">
            <w:pPr>
              <w:widowControl w:val="0"/>
              <w:spacing w:after="0" w:line="240" w:lineRule="auto"/>
              <w:jc w:val="center"/>
            </w:pPr>
            <w:r>
              <w:t>75.0</w:t>
            </w:r>
          </w:p>
        </w:tc>
      </w:tr>
      <w:tr w:rsidR="00C80344" w14:paraId="78B0AA9D" w14:textId="77777777" w:rsidTr="00BA4A2D">
        <w:trPr>
          <w:trHeight w:hRule="exact" w:val="306"/>
        </w:trPr>
        <w:tc>
          <w:tcPr>
            <w:tcW w:w="2430" w:type="dxa"/>
            <w:gridSpan w:val="2"/>
            <w:tcBorders>
              <w:bottom w:val="single" w:sz="4" w:space="0" w:color="auto"/>
            </w:tcBorders>
          </w:tcPr>
          <w:p w14:paraId="6590B21A" w14:textId="77777777" w:rsidR="00C80344" w:rsidRDefault="00C80344" w:rsidP="00BA4A2D">
            <w:pPr>
              <w:widowControl w:val="0"/>
              <w:spacing w:after="0" w:line="240" w:lineRule="auto"/>
              <w:jc w:val="center"/>
            </w:pPr>
            <w:r>
              <w:t>Overall Percentage</w:t>
            </w:r>
          </w:p>
        </w:tc>
        <w:tc>
          <w:tcPr>
            <w:tcW w:w="1490" w:type="dxa"/>
            <w:tcBorders>
              <w:bottom w:val="single" w:sz="4" w:space="0" w:color="auto"/>
            </w:tcBorders>
          </w:tcPr>
          <w:p w14:paraId="7B0D6C81" w14:textId="77777777" w:rsidR="00C80344" w:rsidRDefault="00C80344" w:rsidP="00BA4A2D">
            <w:pPr>
              <w:widowControl w:val="0"/>
              <w:spacing w:after="0" w:line="240" w:lineRule="auto"/>
              <w:jc w:val="center"/>
            </w:pPr>
          </w:p>
        </w:tc>
        <w:tc>
          <w:tcPr>
            <w:tcW w:w="760" w:type="dxa"/>
            <w:tcBorders>
              <w:bottom w:val="single" w:sz="4" w:space="0" w:color="auto"/>
            </w:tcBorders>
          </w:tcPr>
          <w:p w14:paraId="4D0881A1" w14:textId="77777777" w:rsidR="00C80344" w:rsidRDefault="00C80344" w:rsidP="00BA4A2D">
            <w:pPr>
              <w:widowControl w:val="0"/>
              <w:spacing w:after="0" w:line="240" w:lineRule="auto"/>
              <w:jc w:val="center"/>
            </w:pPr>
          </w:p>
        </w:tc>
        <w:tc>
          <w:tcPr>
            <w:tcW w:w="2160" w:type="dxa"/>
            <w:tcBorders>
              <w:bottom w:val="single" w:sz="4" w:space="0" w:color="auto"/>
            </w:tcBorders>
          </w:tcPr>
          <w:p w14:paraId="5A61E590" w14:textId="77777777" w:rsidR="00C80344" w:rsidRDefault="00C80344" w:rsidP="00BA4A2D">
            <w:pPr>
              <w:widowControl w:val="0"/>
              <w:spacing w:after="0" w:line="240" w:lineRule="auto"/>
              <w:jc w:val="center"/>
            </w:pPr>
            <w:r>
              <w:t>93.2</w:t>
            </w:r>
          </w:p>
        </w:tc>
      </w:tr>
    </w:tbl>
    <w:p w14:paraId="3150935F" w14:textId="77777777" w:rsidR="00B21464" w:rsidRDefault="00B21464" w:rsidP="00BA4A2D">
      <w:pPr>
        <w:pStyle w:val="ListParagraph"/>
        <w:widowControl w:val="0"/>
        <w:numPr>
          <w:ilvl w:val="0"/>
          <w:numId w:val="17"/>
        </w:numPr>
        <w:rPr>
          <w:sz w:val="20"/>
          <w:szCs w:val="20"/>
        </w:rPr>
      </w:pPr>
      <w:r w:rsidRPr="00EB2B4A">
        <w:rPr>
          <w:sz w:val="20"/>
          <w:szCs w:val="20"/>
        </w:rPr>
        <w:t>The cut value is .500</w:t>
      </w:r>
    </w:p>
    <w:p w14:paraId="7B3272B5" w14:textId="77777777" w:rsidR="00B21464" w:rsidRPr="00626556" w:rsidRDefault="00B21464" w:rsidP="00BA4A2D">
      <w:pPr>
        <w:pStyle w:val="ListParagraph"/>
        <w:widowControl w:val="0"/>
        <w:ind w:left="1080"/>
        <w:rPr>
          <w:sz w:val="20"/>
          <w:szCs w:val="20"/>
        </w:rPr>
      </w:pPr>
      <w:r>
        <w:rPr>
          <w:sz w:val="20"/>
          <w:szCs w:val="20"/>
        </w:rPr>
        <w:t xml:space="preserve"> </w:t>
      </w:r>
      <w:r w:rsidRPr="00626556">
        <w:rPr>
          <w:sz w:val="20"/>
          <w:szCs w:val="20"/>
        </w:rPr>
        <w:t>ENRD = Enrollment Decision and was coded 1 = did enrol in a second year of physics and 0 = did not enrol in a second hear of physics.</w:t>
      </w:r>
    </w:p>
    <w:p w14:paraId="6DDFA81A" w14:textId="77777777" w:rsidR="00347587" w:rsidRPr="00631E34" w:rsidRDefault="00347587" w:rsidP="00BA4A2D">
      <w:pPr>
        <w:widowControl w:val="0"/>
        <w:spacing w:after="0" w:line="240" w:lineRule="auto"/>
        <w:rPr>
          <w:rFonts w:ascii="Times New Roman" w:hAnsi="Times New Roman" w:cs="Times New Roman"/>
          <w:color w:val="000000"/>
          <w:sz w:val="24"/>
          <w:szCs w:val="24"/>
          <w:shd w:val="clear" w:color="auto" w:fill="FFFFFF"/>
        </w:rPr>
      </w:pPr>
    </w:p>
    <w:sectPr w:rsidR="00347587" w:rsidRPr="00631E34" w:rsidSect="00BE2A5C">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BB7CA" w14:textId="77777777" w:rsidR="00C73D27" w:rsidRDefault="00C73D27" w:rsidP="00631E34">
      <w:pPr>
        <w:spacing w:after="0" w:line="240" w:lineRule="auto"/>
      </w:pPr>
      <w:r>
        <w:separator/>
      </w:r>
    </w:p>
  </w:endnote>
  <w:endnote w:type="continuationSeparator" w:id="0">
    <w:p w14:paraId="64C9E388" w14:textId="77777777" w:rsidR="00C73D27" w:rsidRDefault="00C73D27" w:rsidP="00631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0A4E4" w14:textId="3435E727" w:rsidR="00806BF7" w:rsidRDefault="00806BF7">
    <w:pPr>
      <w:pStyle w:val="Footer"/>
      <w:jc w:val="center"/>
    </w:pPr>
  </w:p>
  <w:p w14:paraId="768C04EB" w14:textId="77777777" w:rsidR="00806BF7" w:rsidRDefault="00806B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0889543"/>
      <w:docPartObj>
        <w:docPartGallery w:val="Page Numbers (Bottom of Page)"/>
        <w:docPartUnique/>
      </w:docPartObj>
    </w:sdtPr>
    <w:sdtEndPr>
      <w:rPr>
        <w:rFonts w:ascii="Times New Roman" w:hAnsi="Times New Roman" w:cs="Times New Roman"/>
        <w:noProof/>
        <w:sz w:val="24"/>
        <w:szCs w:val="24"/>
      </w:rPr>
    </w:sdtEndPr>
    <w:sdtContent>
      <w:p w14:paraId="26092733" w14:textId="77777777" w:rsidR="00BA504C" w:rsidRPr="00BA4A2D" w:rsidRDefault="00BA504C">
        <w:pPr>
          <w:pStyle w:val="Footer"/>
          <w:jc w:val="center"/>
          <w:rPr>
            <w:rFonts w:ascii="Times New Roman" w:hAnsi="Times New Roman" w:cs="Times New Roman"/>
            <w:sz w:val="24"/>
            <w:szCs w:val="24"/>
          </w:rPr>
        </w:pPr>
        <w:r w:rsidRPr="00BA4A2D">
          <w:rPr>
            <w:rFonts w:ascii="Times New Roman" w:hAnsi="Times New Roman" w:cs="Times New Roman"/>
            <w:sz w:val="24"/>
            <w:szCs w:val="24"/>
          </w:rPr>
          <w:fldChar w:fldCharType="begin"/>
        </w:r>
        <w:r w:rsidRPr="00BA4A2D">
          <w:rPr>
            <w:rFonts w:ascii="Times New Roman" w:hAnsi="Times New Roman" w:cs="Times New Roman"/>
            <w:sz w:val="24"/>
            <w:szCs w:val="24"/>
          </w:rPr>
          <w:instrText xml:space="preserve"> PAGE   \* MERGEFORMAT </w:instrText>
        </w:r>
        <w:r w:rsidRPr="00BA4A2D">
          <w:rPr>
            <w:rFonts w:ascii="Times New Roman" w:hAnsi="Times New Roman" w:cs="Times New Roman"/>
            <w:sz w:val="24"/>
            <w:szCs w:val="24"/>
          </w:rPr>
          <w:fldChar w:fldCharType="separate"/>
        </w:r>
        <w:r w:rsidRPr="00BA4A2D">
          <w:rPr>
            <w:rFonts w:ascii="Times New Roman" w:hAnsi="Times New Roman" w:cs="Times New Roman"/>
            <w:noProof/>
            <w:sz w:val="24"/>
            <w:szCs w:val="24"/>
          </w:rPr>
          <w:t>2</w:t>
        </w:r>
        <w:r w:rsidRPr="00BA4A2D">
          <w:rPr>
            <w:rFonts w:ascii="Times New Roman" w:hAnsi="Times New Roman" w:cs="Times New Roman"/>
            <w:noProof/>
            <w:sz w:val="24"/>
            <w:szCs w:val="24"/>
          </w:rPr>
          <w:fldChar w:fldCharType="end"/>
        </w:r>
      </w:p>
    </w:sdtContent>
  </w:sdt>
  <w:p w14:paraId="48319536" w14:textId="77777777" w:rsidR="00BA504C" w:rsidRDefault="00BA5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DED90" w14:textId="77777777" w:rsidR="00C73D27" w:rsidRDefault="00C73D27" w:rsidP="00631E34">
      <w:pPr>
        <w:spacing w:after="0" w:line="240" w:lineRule="auto"/>
      </w:pPr>
      <w:r>
        <w:separator/>
      </w:r>
    </w:p>
  </w:footnote>
  <w:footnote w:type="continuationSeparator" w:id="0">
    <w:p w14:paraId="62998A5D" w14:textId="77777777" w:rsidR="00C73D27" w:rsidRDefault="00C73D27" w:rsidP="00631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3D0253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91D4F4D"/>
    <w:multiLevelType w:val="hybridMultilevel"/>
    <w:tmpl w:val="D0363A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B44F6"/>
    <w:multiLevelType w:val="hybridMultilevel"/>
    <w:tmpl w:val="329E4E20"/>
    <w:lvl w:ilvl="0" w:tplc="2B26BE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CD762D"/>
    <w:multiLevelType w:val="hybridMultilevel"/>
    <w:tmpl w:val="9F64551A"/>
    <w:lvl w:ilvl="0" w:tplc="A9B4E6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6D03D0"/>
    <w:multiLevelType w:val="hybridMultilevel"/>
    <w:tmpl w:val="329E4E20"/>
    <w:lvl w:ilvl="0" w:tplc="2B26BE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E81B06"/>
    <w:multiLevelType w:val="hybridMultilevel"/>
    <w:tmpl w:val="9F64551A"/>
    <w:lvl w:ilvl="0" w:tplc="A9B4E6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F36FC0"/>
    <w:multiLevelType w:val="hybridMultilevel"/>
    <w:tmpl w:val="69AC4E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194878"/>
    <w:multiLevelType w:val="hybridMultilevel"/>
    <w:tmpl w:val="9F64551A"/>
    <w:lvl w:ilvl="0" w:tplc="A9B4E6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890EC4"/>
    <w:multiLevelType w:val="hybridMultilevel"/>
    <w:tmpl w:val="06FA1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5209B1"/>
    <w:multiLevelType w:val="hybridMultilevel"/>
    <w:tmpl w:val="329E4E20"/>
    <w:lvl w:ilvl="0" w:tplc="2B26BE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F51435"/>
    <w:multiLevelType w:val="hybridMultilevel"/>
    <w:tmpl w:val="61E6413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7179C8"/>
    <w:multiLevelType w:val="hybridMultilevel"/>
    <w:tmpl w:val="C08C5948"/>
    <w:lvl w:ilvl="0" w:tplc="6B5E84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6F39AE"/>
    <w:multiLevelType w:val="hybridMultilevel"/>
    <w:tmpl w:val="9F64551A"/>
    <w:lvl w:ilvl="0" w:tplc="A9B4E6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66741A"/>
    <w:multiLevelType w:val="hybridMultilevel"/>
    <w:tmpl w:val="9F64551A"/>
    <w:lvl w:ilvl="0" w:tplc="A9B4E6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E97197"/>
    <w:multiLevelType w:val="hybridMultilevel"/>
    <w:tmpl w:val="3F46D53C"/>
    <w:lvl w:ilvl="0" w:tplc="04090011">
      <w:start w:val="1"/>
      <w:numFmt w:val="decimal"/>
      <w:pStyle w:val="List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085E93"/>
    <w:multiLevelType w:val="hybridMultilevel"/>
    <w:tmpl w:val="B8C62F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292811"/>
    <w:multiLevelType w:val="hybridMultilevel"/>
    <w:tmpl w:val="C95694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5145949">
    <w:abstractNumId w:val="0"/>
  </w:num>
  <w:num w:numId="2" w16cid:durableId="468668650">
    <w:abstractNumId w:val="14"/>
  </w:num>
  <w:num w:numId="3" w16cid:durableId="984357761">
    <w:abstractNumId w:val="11"/>
  </w:num>
  <w:num w:numId="4" w16cid:durableId="93407343">
    <w:abstractNumId w:val="15"/>
  </w:num>
  <w:num w:numId="5" w16cid:durableId="839740325">
    <w:abstractNumId w:val="8"/>
  </w:num>
  <w:num w:numId="6" w16cid:durableId="2039237865">
    <w:abstractNumId w:val="6"/>
  </w:num>
  <w:num w:numId="7" w16cid:durableId="949749587">
    <w:abstractNumId w:val="10"/>
  </w:num>
  <w:num w:numId="8" w16cid:durableId="554854926">
    <w:abstractNumId w:val="16"/>
  </w:num>
  <w:num w:numId="9" w16cid:durableId="1345086723">
    <w:abstractNumId w:val="1"/>
  </w:num>
  <w:num w:numId="10" w16cid:durableId="2128354802">
    <w:abstractNumId w:val="2"/>
  </w:num>
  <w:num w:numId="11" w16cid:durableId="1240018173">
    <w:abstractNumId w:val="12"/>
  </w:num>
  <w:num w:numId="12" w16cid:durableId="80760853">
    <w:abstractNumId w:val="9"/>
  </w:num>
  <w:num w:numId="13" w16cid:durableId="2122528348">
    <w:abstractNumId w:val="5"/>
  </w:num>
  <w:num w:numId="14" w16cid:durableId="833107132">
    <w:abstractNumId w:val="4"/>
  </w:num>
  <w:num w:numId="15" w16cid:durableId="584264554">
    <w:abstractNumId w:val="7"/>
  </w:num>
  <w:num w:numId="16" w16cid:durableId="732780433">
    <w:abstractNumId w:val="3"/>
  </w:num>
  <w:num w:numId="17" w16cid:durableId="9381002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398"/>
    <w:rsid w:val="00003281"/>
    <w:rsid w:val="00004DF6"/>
    <w:rsid w:val="0000688B"/>
    <w:rsid w:val="00010337"/>
    <w:rsid w:val="00013A34"/>
    <w:rsid w:val="00014D27"/>
    <w:rsid w:val="000151C4"/>
    <w:rsid w:val="0001694B"/>
    <w:rsid w:val="0002034B"/>
    <w:rsid w:val="00021550"/>
    <w:rsid w:val="000262DE"/>
    <w:rsid w:val="00026C2E"/>
    <w:rsid w:val="00030BFD"/>
    <w:rsid w:val="00031B8D"/>
    <w:rsid w:val="00033421"/>
    <w:rsid w:val="00034B6F"/>
    <w:rsid w:val="00036FB8"/>
    <w:rsid w:val="00037B9A"/>
    <w:rsid w:val="00040852"/>
    <w:rsid w:val="00043E3E"/>
    <w:rsid w:val="00047E18"/>
    <w:rsid w:val="000517A4"/>
    <w:rsid w:val="0005325C"/>
    <w:rsid w:val="00053449"/>
    <w:rsid w:val="00055C58"/>
    <w:rsid w:val="0006336C"/>
    <w:rsid w:val="00063D97"/>
    <w:rsid w:val="000666C3"/>
    <w:rsid w:val="0006781A"/>
    <w:rsid w:val="000678B8"/>
    <w:rsid w:val="00067907"/>
    <w:rsid w:val="0006796A"/>
    <w:rsid w:val="00067DA6"/>
    <w:rsid w:val="00070DC4"/>
    <w:rsid w:val="00071A12"/>
    <w:rsid w:val="00071CB3"/>
    <w:rsid w:val="00072CF3"/>
    <w:rsid w:val="00073B31"/>
    <w:rsid w:val="000765EB"/>
    <w:rsid w:val="000774A9"/>
    <w:rsid w:val="0008082F"/>
    <w:rsid w:val="000812F4"/>
    <w:rsid w:val="00082B29"/>
    <w:rsid w:val="00083043"/>
    <w:rsid w:val="00083CF9"/>
    <w:rsid w:val="00084338"/>
    <w:rsid w:val="00085CF0"/>
    <w:rsid w:val="00086D8C"/>
    <w:rsid w:val="00091238"/>
    <w:rsid w:val="0009138A"/>
    <w:rsid w:val="0009139A"/>
    <w:rsid w:val="00091B8A"/>
    <w:rsid w:val="0009429B"/>
    <w:rsid w:val="000943B8"/>
    <w:rsid w:val="000958D8"/>
    <w:rsid w:val="000964C6"/>
    <w:rsid w:val="000979C8"/>
    <w:rsid w:val="000A1A13"/>
    <w:rsid w:val="000A2845"/>
    <w:rsid w:val="000A499D"/>
    <w:rsid w:val="000A5039"/>
    <w:rsid w:val="000A6803"/>
    <w:rsid w:val="000A688B"/>
    <w:rsid w:val="000A7EB0"/>
    <w:rsid w:val="000B156E"/>
    <w:rsid w:val="000B28FF"/>
    <w:rsid w:val="000B2C8A"/>
    <w:rsid w:val="000B7313"/>
    <w:rsid w:val="000C04E4"/>
    <w:rsid w:val="000C0F35"/>
    <w:rsid w:val="000C1F38"/>
    <w:rsid w:val="000C27DC"/>
    <w:rsid w:val="000C6DAB"/>
    <w:rsid w:val="000D0828"/>
    <w:rsid w:val="000D1CA9"/>
    <w:rsid w:val="000D1CF0"/>
    <w:rsid w:val="000D279B"/>
    <w:rsid w:val="000D4E29"/>
    <w:rsid w:val="000D59D4"/>
    <w:rsid w:val="000D768E"/>
    <w:rsid w:val="000E04B2"/>
    <w:rsid w:val="000E0B77"/>
    <w:rsid w:val="000E16C0"/>
    <w:rsid w:val="000E4A42"/>
    <w:rsid w:val="000E7F7C"/>
    <w:rsid w:val="000F168D"/>
    <w:rsid w:val="000F2170"/>
    <w:rsid w:val="000F24F9"/>
    <w:rsid w:val="000F3292"/>
    <w:rsid w:val="000F458E"/>
    <w:rsid w:val="000F46B5"/>
    <w:rsid w:val="000F5328"/>
    <w:rsid w:val="000F764A"/>
    <w:rsid w:val="0010146B"/>
    <w:rsid w:val="00102770"/>
    <w:rsid w:val="001054EA"/>
    <w:rsid w:val="00105A31"/>
    <w:rsid w:val="001108B2"/>
    <w:rsid w:val="00110B36"/>
    <w:rsid w:val="00113A27"/>
    <w:rsid w:val="001141BC"/>
    <w:rsid w:val="00114819"/>
    <w:rsid w:val="00117115"/>
    <w:rsid w:val="00117A64"/>
    <w:rsid w:val="00117E07"/>
    <w:rsid w:val="00122292"/>
    <w:rsid w:val="00122462"/>
    <w:rsid w:val="00122514"/>
    <w:rsid w:val="00122958"/>
    <w:rsid w:val="001231B9"/>
    <w:rsid w:val="00123323"/>
    <w:rsid w:val="001240BF"/>
    <w:rsid w:val="00125392"/>
    <w:rsid w:val="00130C87"/>
    <w:rsid w:val="00130CF3"/>
    <w:rsid w:val="001326E0"/>
    <w:rsid w:val="001347D0"/>
    <w:rsid w:val="00136619"/>
    <w:rsid w:val="00136A48"/>
    <w:rsid w:val="0014055B"/>
    <w:rsid w:val="00141014"/>
    <w:rsid w:val="001460D2"/>
    <w:rsid w:val="00151268"/>
    <w:rsid w:val="001536FE"/>
    <w:rsid w:val="00160C77"/>
    <w:rsid w:val="0016387C"/>
    <w:rsid w:val="00165455"/>
    <w:rsid w:val="00166731"/>
    <w:rsid w:val="00166A84"/>
    <w:rsid w:val="00167A9F"/>
    <w:rsid w:val="001767CC"/>
    <w:rsid w:val="00176C1B"/>
    <w:rsid w:val="001773D0"/>
    <w:rsid w:val="001773F5"/>
    <w:rsid w:val="001774E6"/>
    <w:rsid w:val="00177FB0"/>
    <w:rsid w:val="001831F4"/>
    <w:rsid w:val="00184045"/>
    <w:rsid w:val="00185DF8"/>
    <w:rsid w:val="00191230"/>
    <w:rsid w:val="001921F6"/>
    <w:rsid w:val="001924EC"/>
    <w:rsid w:val="001927A7"/>
    <w:rsid w:val="00194373"/>
    <w:rsid w:val="0019496E"/>
    <w:rsid w:val="00197675"/>
    <w:rsid w:val="001A06BF"/>
    <w:rsid w:val="001A0D46"/>
    <w:rsid w:val="001A32BA"/>
    <w:rsid w:val="001A37BA"/>
    <w:rsid w:val="001A415F"/>
    <w:rsid w:val="001A5388"/>
    <w:rsid w:val="001A584A"/>
    <w:rsid w:val="001B0845"/>
    <w:rsid w:val="001B137A"/>
    <w:rsid w:val="001B3125"/>
    <w:rsid w:val="001B7116"/>
    <w:rsid w:val="001B7339"/>
    <w:rsid w:val="001B7A89"/>
    <w:rsid w:val="001C0BE6"/>
    <w:rsid w:val="001C2D2C"/>
    <w:rsid w:val="001C3DFF"/>
    <w:rsid w:val="001C6C68"/>
    <w:rsid w:val="001D0C94"/>
    <w:rsid w:val="001D4E85"/>
    <w:rsid w:val="001D5117"/>
    <w:rsid w:val="001E1721"/>
    <w:rsid w:val="001E28CB"/>
    <w:rsid w:val="001E3820"/>
    <w:rsid w:val="001E3D34"/>
    <w:rsid w:val="001E58AD"/>
    <w:rsid w:val="001E6225"/>
    <w:rsid w:val="001F22BE"/>
    <w:rsid w:val="001F3DFB"/>
    <w:rsid w:val="001F402F"/>
    <w:rsid w:val="001F5240"/>
    <w:rsid w:val="001F5DB4"/>
    <w:rsid w:val="002021F0"/>
    <w:rsid w:val="002030A1"/>
    <w:rsid w:val="002032A0"/>
    <w:rsid w:val="00203F62"/>
    <w:rsid w:val="002042A1"/>
    <w:rsid w:val="00204B93"/>
    <w:rsid w:val="002054C0"/>
    <w:rsid w:val="0020705B"/>
    <w:rsid w:val="00207EAA"/>
    <w:rsid w:val="0021079F"/>
    <w:rsid w:val="0021140F"/>
    <w:rsid w:val="00215963"/>
    <w:rsid w:val="00216208"/>
    <w:rsid w:val="00220C9B"/>
    <w:rsid w:val="00222235"/>
    <w:rsid w:val="00222719"/>
    <w:rsid w:val="00222BEA"/>
    <w:rsid w:val="0022681C"/>
    <w:rsid w:val="00226A7D"/>
    <w:rsid w:val="002307FE"/>
    <w:rsid w:val="00231762"/>
    <w:rsid w:val="00232835"/>
    <w:rsid w:val="002332F7"/>
    <w:rsid w:val="002334A3"/>
    <w:rsid w:val="00234D3C"/>
    <w:rsid w:val="002355F4"/>
    <w:rsid w:val="00236E55"/>
    <w:rsid w:val="00237110"/>
    <w:rsid w:val="002407A6"/>
    <w:rsid w:val="00241696"/>
    <w:rsid w:val="0024458C"/>
    <w:rsid w:val="00244592"/>
    <w:rsid w:val="00250971"/>
    <w:rsid w:val="00250A69"/>
    <w:rsid w:val="002513CD"/>
    <w:rsid w:val="00255B2A"/>
    <w:rsid w:val="00257F87"/>
    <w:rsid w:val="0026329C"/>
    <w:rsid w:val="0026360E"/>
    <w:rsid w:val="00264AE0"/>
    <w:rsid w:val="00270063"/>
    <w:rsid w:val="002700ED"/>
    <w:rsid w:val="002718BF"/>
    <w:rsid w:val="00272FAB"/>
    <w:rsid w:val="00276203"/>
    <w:rsid w:val="00280FCE"/>
    <w:rsid w:val="0028160D"/>
    <w:rsid w:val="00282F3B"/>
    <w:rsid w:val="00284AE9"/>
    <w:rsid w:val="002852BF"/>
    <w:rsid w:val="00292A03"/>
    <w:rsid w:val="00293439"/>
    <w:rsid w:val="00293446"/>
    <w:rsid w:val="00293BE9"/>
    <w:rsid w:val="00295437"/>
    <w:rsid w:val="00296663"/>
    <w:rsid w:val="00296C06"/>
    <w:rsid w:val="002A028D"/>
    <w:rsid w:val="002A1103"/>
    <w:rsid w:val="002A25EC"/>
    <w:rsid w:val="002A2CFE"/>
    <w:rsid w:val="002A2F4D"/>
    <w:rsid w:val="002A494B"/>
    <w:rsid w:val="002A5BA7"/>
    <w:rsid w:val="002B0519"/>
    <w:rsid w:val="002B0540"/>
    <w:rsid w:val="002B0730"/>
    <w:rsid w:val="002B27FE"/>
    <w:rsid w:val="002B3728"/>
    <w:rsid w:val="002B39F6"/>
    <w:rsid w:val="002B3EE7"/>
    <w:rsid w:val="002B4187"/>
    <w:rsid w:val="002B4A40"/>
    <w:rsid w:val="002B6BE0"/>
    <w:rsid w:val="002B712D"/>
    <w:rsid w:val="002C0237"/>
    <w:rsid w:val="002C2B1A"/>
    <w:rsid w:val="002C3990"/>
    <w:rsid w:val="002C3B47"/>
    <w:rsid w:val="002C3C9E"/>
    <w:rsid w:val="002C576A"/>
    <w:rsid w:val="002C5DB2"/>
    <w:rsid w:val="002D1EB3"/>
    <w:rsid w:val="002D295C"/>
    <w:rsid w:val="002D469F"/>
    <w:rsid w:val="002D6DB8"/>
    <w:rsid w:val="002E08B4"/>
    <w:rsid w:val="002E2121"/>
    <w:rsid w:val="002E2498"/>
    <w:rsid w:val="002E6CE8"/>
    <w:rsid w:val="002E7A70"/>
    <w:rsid w:val="002F085B"/>
    <w:rsid w:val="002F08EE"/>
    <w:rsid w:val="002F326B"/>
    <w:rsid w:val="002F530C"/>
    <w:rsid w:val="002F6FD2"/>
    <w:rsid w:val="002F6FF0"/>
    <w:rsid w:val="00300464"/>
    <w:rsid w:val="00302460"/>
    <w:rsid w:val="00303531"/>
    <w:rsid w:val="00304165"/>
    <w:rsid w:val="00306DB7"/>
    <w:rsid w:val="00310FB2"/>
    <w:rsid w:val="00315B06"/>
    <w:rsid w:val="003165C2"/>
    <w:rsid w:val="00320413"/>
    <w:rsid w:val="00321556"/>
    <w:rsid w:val="00323955"/>
    <w:rsid w:val="00324449"/>
    <w:rsid w:val="0032594C"/>
    <w:rsid w:val="00327ED8"/>
    <w:rsid w:val="00330164"/>
    <w:rsid w:val="00332D66"/>
    <w:rsid w:val="0033339E"/>
    <w:rsid w:val="00334860"/>
    <w:rsid w:val="00342637"/>
    <w:rsid w:val="0034263B"/>
    <w:rsid w:val="00343062"/>
    <w:rsid w:val="00344E44"/>
    <w:rsid w:val="003457FE"/>
    <w:rsid w:val="00347587"/>
    <w:rsid w:val="003500C1"/>
    <w:rsid w:val="003500D7"/>
    <w:rsid w:val="0035168E"/>
    <w:rsid w:val="00351EF0"/>
    <w:rsid w:val="003579C3"/>
    <w:rsid w:val="00357BE0"/>
    <w:rsid w:val="00360BF3"/>
    <w:rsid w:val="00362547"/>
    <w:rsid w:val="00367F93"/>
    <w:rsid w:val="00370ACB"/>
    <w:rsid w:val="00371810"/>
    <w:rsid w:val="00373088"/>
    <w:rsid w:val="003731FA"/>
    <w:rsid w:val="00380DE4"/>
    <w:rsid w:val="00383454"/>
    <w:rsid w:val="00384996"/>
    <w:rsid w:val="00390C3B"/>
    <w:rsid w:val="00391470"/>
    <w:rsid w:val="0039244B"/>
    <w:rsid w:val="003924CD"/>
    <w:rsid w:val="003925CF"/>
    <w:rsid w:val="00393844"/>
    <w:rsid w:val="00393BBE"/>
    <w:rsid w:val="00395B5F"/>
    <w:rsid w:val="00397343"/>
    <w:rsid w:val="003A6062"/>
    <w:rsid w:val="003A6200"/>
    <w:rsid w:val="003A6806"/>
    <w:rsid w:val="003B0BCA"/>
    <w:rsid w:val="003B0E11"/>
    <w:rsid w:val="003B219E"/>
    <w:rsid w:val="003B345B"/>
    <w:rsid w:val="003B72BE"/>
    <w:rsid w:val="003B7C43"/>
    <w:rsid w:val="003C3757"/>
    <w:rsid w:val="003C682E"/>
    <w:rsid w:val="003C6FB0"/>
    <w:rsid w:val="003C73B9"/>
    <w:rsid w:val="003D04C9"/>
    <w:rsid w:val="003D0856"/>
    <w:rsid w:val="003D1BE7"/>
    <w:rsid w:val="003D2C41"/>
    <w:rsid w:val="003D3169"/>
    <w:rsid w:val="003D3D3C"/>
    <w:rsid w:val="003D60DD"/>
    <w:rsid w:val="003D61D6"/>
    <w:rsid w:val="003E061F"/>
    <w:rsid w:val="003E4473"/>
    <w:rsid w:val="003E56DF"/>
    <w:rsid w:val="003E5FE1"/>
    <w:rsid w:val="003E684A"/>
    <w:rsid w:val="003E7B65"/>
    <w:rsid w:val="003F130A"/>
    <w:rsid w:val="003F2B44"/>
    <w:rsid w:val="003F32D8"/>
    <w:rsid w:val="003F4C57"/>
    <w:rsid w:val="003F74FA"/>
    <w:rsid w:val="003F7FE4"/>
    <w:rsid w:val="004007D3"/>
    <w:rsid w:val="00402854"/>
    <w:rsid w:val="00405578"/>
    <w:rsid w:val="00406FE1"/>
    <w:rsid w:val="00407585"/>
    <w:rsid w:val="00407A81"/>
    <w:rsid w:val="00410D56"/>
    <w:rsid w:val="004121B8"/>
    <w:rsid w:val="00421DCE"/>
    <w:rsid w:val="00425081"/>
    <w:rsid w:val="0042587E"/>
    <w:rsid w:val="00427F6E"/>
    <w:rsid w:val="00430997"/>
    <w:rsid w:val="004313CF"/>
    <w:rsid w:val="00432DE6"/>
    <w:rsid w:val="004348CA"/>
    <w:rsid w:val="004349BC"/>
    <w:rsid w:val="00435596"/>
    <w:rsid w:val="00441049"/>
    <w:rsid w:val="0044189E"/>
    <w:rsid w:val="00441BDD"/>
    <w:rsid w:val="00443BAD"/>
    <w:rsid w:val="00444C45"/>
    <w:rsid w:val="00445DCA"/>
    <w:rsid w:val="004467D9"/>
    <w:rsid w:val="00447124"/>
    <w:rsid w:val="0045089D"/>
    <w:rsid w:val="00450A83"/>
    <w:rsid w:val="0045242E"/>
    <w:rsid w:val="00453E2F"/>
    <w:rsid w:val="004549FF"/>
    <w:rsid w:val="004558A0"/>
    <w:rsid w:val="0045657F"/>
    <w:rsid w:val="00461DB6"/>
    <w:rsid w:val="00462080"/>
    <w:rsid w:val="004638C3"/>
    <w:rsid w:val="004644F8"/>
    <w:rsid w:val="00467351"/>
    <w:rsid w:val="0046779F"/>
    <w:rsid w:val="00467A5D"/>
    <w:rsid w:val="0047158C"/>
    <w:rsid w:val="00474CD5"/>
    <w:rsid w:val="00477500"/>
    <w:rsid w:val="004804AF"/>
    <w:rsid w:val="00481F97"/>
    <w:rsid w:val="004822FE"/>
    <w:rsid w:val="004836A5"/>
    <w:rsid w:val="00486D9F"/>
    <w:rsid w:val="004912C0"/>
    <w:rsid w:val="00492BA9"/>
    <w:rsid w:val="004932AA"/>
    <w:rsid w:val="00495F68"/>
    <w:rsid w:val="004968DB"/>
    <w:rsid w:val="004A0F91"/>
    <w:rsid w:val="004A422B"/>
    <w:rsid w:val="004A7FEF"/>
    <w:rsid w:val="004B1A60"/>
    <w:rsid w:val="004B3EE8"/>
    <w:rsid w:val="004B5398"/>
    <w:rsid w:val="004B6257"/>
    <w:rsid w:val="004C156F"/>
    <w:rsid w:val="004C159A"/>
    <w:rsid w:val="004C1654"/>
    <w:rsid w:val="004C36F0"/>
    <w:rsid w:val="004C47EF"/>
    <w:rsid w:val="004D19DC"/>
    <w:rsid w:val="004D2057"/>
    <w:rsid w:val="004D57BF"/>
    <w:rsid w:val="004D5BC5"/>
    <w:rsid w:val="004D5CBE"/>
    <w:rsid w:val="004D76FD"/>
    <w:rsid w:val="004E2CD4"/>
    <w:rsid w:val="004E5B34"/>
    <w:rsid w:val="004E71D7"/>
    <w:rsid w:val="004E7917"/>
    <w:rsid w:val="004E7F27"/>
    <w:rsid w:val="004F1CBB"/>
    <w:rsid w:val="004F29D4"/>
    <w:rsid w:val="004F2C7F"/>
    <w:rsid w:val="004F3A8F"/>
    <w:rsid w:val="004F6D53"/>
    <w:rsid w:val="005013C9"/>
    <w:rsid w:val="00502838"/>
    <w:rsid w:val="005033A9"/>
    <w:rsid w:val="005052E7"/>
    <w:rsid w:val="00506D50"/>
    <w:rsid w:val="0050798B"/>
    <w:rsid w:val="00512FC1"/>
    <w:rsid w:val="00513BA0"/>
    <w:rsid w:val="005155B5"/>
    <w:rsid w:val="0051788D"/>
    <w:rsid w:val="00523724"/>
    <w:rsid w:val="00523E7B"/>
    <w:rsid w:val="005249D6"/>
    <w:rsid w:val="005257E2"/>
    <w:rsid w:val="00526C6C"/>
    <w:rsid w:val="005271E0"/>
    <w:rsid w:val="00530107"/>
    <w:rsid w:val="005308CE"/>
    <w:rsid w:val="005311C0"/>
    <w:rsid w:val="00531B3B"/>
    <w:rsid w:val="005363E5"/>
    <w:rsid w:val="00540D46"/>
    <w:rsid w:val="00542A15"/>
    <w:rsid w:val="0054752B"/>
    <w:rsid w:val="005476FA"/>
    <w:rsid w:val="005516B0"/>
    <w:rsid w:val="00551F53"/>
    <w:rsid w:val="005531A1"/>
    <w:rsid w:val="00557382"/>
    <w:rsid w:val="00557EF4"/>
    <w:rsid w:val="00561919"/>
    <w:rsid w:val="00561D2F"/>
    <w:rsid w:val="0056203C"/>
    <w:rsid w:val="005629D1"/>
    <w:rsid w:val="00563024"/>
    <w:rsid w:val="0056311E"/>
    <w:rsid w:val="005637DA"/>
    <w:rsid w:val="00563C5D"/>
    <w:rsid w:val="00564AE3"/>
    <w:rsid w:val="0056734E"/>
    <w:rsid w:val="00570055"/>
    <w:rsid w:val="00570618"/>
    <w:rsid w:val="0057375E"/>
    <w:rsid w:val="00573E9B"/>
    <w:rsid w:val="00574D30"/>
    <w:rsid w:val="00575DEC"/>
    <w:rsid w:val="0057600A"/>
    <w:rsid w:val="00577267"/>
    <w:rsid w:val="00577363"/>
    <w:rsid w:val="00577FF3"/>
    <w:rsid w:val="005811F9"/>
    <w:rsid w:val="005811FD"/>
    <w:rsid w:val="0058149B"/>
    <w:rsid w:val="005825AA"/>
    <w:rsid w:val="00582DA7"/>
    <w:rsid w:val="005830B0"/>
    <w:rsid w:val="00583253"/>
    <w:rsid w:val="00585C69"/>
    <w:rsid w:val="005862FC"/>
    <w:rsid w:val="00587D4D"/>
    <w:rsid w:val="0059017B"/>
    <w:rsid w:val="00591F5E"/>
    <w:rsid w:val="00592A84"/>
    <w:rsid w:val="00594386"/>
    <w:rsid w:val="00594531"/>
    <w:rsid w:val="00596923"/>
    <w:rsid w:val="0059748E"/>
    <w:rsid w:val="005B072F"/>
    <w:rsid w:val="005B0FF5"/>
    <w:rsid w:val="005B2E77"/>
    <w:rsid w:val="005B36BB"/>
    <w:rsid w:val="005B42FC"/>
    <w:rsid w:val="005B5B73"/>
    <w:rsid w:val="005B670E"/>
    <w:rsid w:val="005B69C5"/>
    <w:rsid w:val="005C2EE5"/>
    <w:rsid w:val="005C5945"/>
    <w:rsid w:val="005C65DB"/>
    <w:rsid w:val="005C6829"/>
    <w:rsid w:val="005D2117"/>
    <w:rsid w:val="005D5A3D"/>
    <w:rsid w:val="005D5D05"/>
    <w:rsid w:val="005D5D83"/>
    <w:rsid w:val="005D6820"/>
    <w:rsid w:val="005E07F4"/>
    <w:rsid w:val="005E196B"/>
    <w:rsid w:val="005E20AB"/>
    <w:rsid w:val="005E39A8"/>
    <w:rsid w:val="005E4A5D"/>
    <w:rsid w:val="005E5A1C"/>
    <w:rsid w:val="005E61E2"/>
    <w:rsid w:val="005E74CC"/>
    <w:rsid w:val="005F14EB"/>
    <w:rsid w:val="005F1F95"/>
    <w:rsid w:val="005F3F29"/>
    <w:rsid w:val="005F4BB2"/>
    <w:rsid w:val="005F5086"/>
    <w:rsid w:val="006000F2"/>
    <w:rsid w:val="00601B6F"/>
    <w:rsid w:val="00603A3B"/>
    <w:rsid w:val="00603EF5"/>
    <w:rsid w:val="00605041"/>
    <w:rsid w:val="00610436"/>
    <w:rsid w:val="006119C1"/>
    <w:rsid w:val="00612649"/>
    <w:rsid w:val="0061370B"/>
    <w:rsid w:val="00613D1B"/>
    <w:rsid w:val="00616687"/>
    <w:rsid w:val="00617BD0"/>
    <w:rsid w:val="00624208"/>
    <w:rsid w:val="00624260"/>
    <w:rsid w:val="00624B7D"/>
    <w:rsid w:val="00626394"/>
    <w:rsid w:val="00630A64"/>
    <w:rsid w:val="00631E34"/>
    <w:rsid w:val="00632896"/>
    <w:rsid w:val="006347F1"/>
    <w:rsid w:val="00634A48"/>
    <w:rsid w:val="00635C7E"/>
    <w:rsid w:val="00635EA0"/>
    <w:rsid w:val="00637591"/>
    <w:rsid w:val="006423C8"/>
    <w:rsid w:val="00643D3A"/>
    <w:rsid w:val="0064459B"/>
    <w:rsid w:val="00644D4A"/>
    <w:rsid w:val="00645233"/>
    <w:rsid w:val="006466A1"/>
    <w:rsid w:val="00646DE9"/>
    <w:rsid w:val="00647579"/>
    <w:rsid w:val="00647AEC"/>
    <w:rsid w:val="00647EAF"/>
    <w:rsid w:val="0065494F"/>
    <w:rsid w:val="00654D4C"/>
    <w:rsid w:val="006564BB"/>
    <w:rsid w:val="006618C9"/>
    <w:rsid w:val="00662CE7"/>
    <w:rsid w:val="00662EE6"/>
    <w:rsid w:val="00664F51"/>
    <w:rsid w:val="00665729"/>
    <w:rsid w:val="00666132"/>
    <w:rsid w:val="0066722A"/>
    <w:rsid w:val="00667466"/>
    <w:rsid w:val="0067224F"/>
    <w:rsid w:val="00673517"/>
    <w:rsid w:val="006759A3"/>
    <w:rsid w:val="00676A2D"/>
    <w:rsid w:val="00677232"/>
    <w:rsid w:val="00677CC4"/>
    <w:rsid w:val="006809C7"/>
    <w:rsid w:val="0068209F"/>
    <w:rsid w:val="00682B5A"/>
    <w:rsid w:val="00687CC0"/>
    <w:rsid w:val="006907D9"/>
    <w:rsid w:val="00691EA1"/>
    <w:rsid w:val="00692358"/>
    <w:rsid w:val="006933D1"/>
    <w:rsid w:val="006951E7"/>
    <w:rsid w:val="00695ADF"/>
    <w:rsid w:val="00695BA0"/>
    <w:rsid w:val="00696E90"/>
    <w:rsid w:val="006A0DA7"/>
    <w:rsid w:val="006A3449"/>
    <w:rsid w:val="006A4405"/>
    <w:rsid w:val="006B00ED"/>
    <w:rsid w:val="006B06C9"/>
    <w:rsid w:val="006B0EB7"/>
    <w:rsid w:val="006B1023"/>
    <w:rsid w:val="006B244B"/>
    <w:rsid w:val="006B24F4"/>
    <w:rsid w:val="006B2576"/>
    <w:rsid w:val="006B3725"/>
    <w:rsid w:val="006B66F8"/>
    <w:rsid w:val="006B6D38"/>
    <w:rsid w:val="006B7893"/>
    <w:rsid w:val="006B7C0D"/>
    <w:rsid w:val="006B7C4F"/>
    <w:rsid w:val="006C23B9"/>
    <w:rsid w:val="006C28BA"/>
    <w:rsid w:val="006C2E97"/>
    <w:rsid w:val="006C321A"/>
    <w:rsid w:val="006C4355"/>
    <w:rsid w:val="006C60E5"/>
    <w:rsid w:val="006D47B3"/>
    <w:rsid w:val="006D4813"/>
    <w:rsid w:val="006D516E"/>
    <w:rsid w:val="006D7FEB"/>
    <w:rsid w:val="006E0823"/>
    <w:rsid w:val="006E0D96"/>
    <w:rsid w:val="006E25A9"/>
    <w:rsid w:val="006E3288"/>
    <w:rsid w:val="006E465F"/>
    <w:rsid w:val="006E514D"/>
    <w:rsid w:val="006E79C3"/>
    <w:rsid w:val="006F3250"/>
    <w:rsid w:val="006F3F13"/>
    <w:rsid w:val="006F5884"/>
    <w:rsid w:val="006F6C34"/>
    <w:rsid w:val="006F7591"/>
    <w:rsid w:val="007015C8"/>
    <w:rsid w:val="00701688"/>
    <w:rsid w:val="00702863"/>
    <w:rsid w:val="007028C3"/>
    <w:rsid w:val="0070668E"/>
    <w:rsid w:val="00706D19"/>
    <w:rsid w:val="00707AE2"/>
    <w:rsid w:val="007109D7"/>
    <w:rsid w:val="00711335"/>
    <w:rsid w:val="00711381"/>
    <w:rsid w:val="007113F1"/>
    <w:rsid w:val="00712589"/>
    <w:rsid w:val="00712594"/>
    <w:rsid w:val="00713F36"/>
    <w:rsid w:val="00714645"/>
    <w:rsid w:val="0071699F"/>
    <w:rsid w:val="00721732"/>
    <w:rsid w:val="00722C1A"/>
    <w:rsid w:val="00724B8D"/>
    <w:rsid w:val="00727C0F"/>
    <w:rsid w:val="00733395"/>
    <w:rsid w:val="00733632"/>
    <w:rsid w:val="00733A56"/>
    <w:rsid w:val="00733EA4"/>
    <w:rsid w:val="00734FB3"/>
    <w:rsid w:val="007354AC"/>
    <w:rsid w:val="007369B8"/>
    <w:rsid w:val="00736F31"/>
    <w:rsid w:val="007406B5"/>
    <w:rsid w:val="00741592"/>
    <w:rsid w:val="00746160"/>
    <w:rsid w:val="00746999"/>
    <w:rsid w:val="007518B2"/>
    <w:rsid w:val="007541F6"/>
    <w:rsid w:val="0075439D"/>
    <w:rsid w:val="00754571"/>
    <w:rsid w:val="00756824"/>
    <w:rsid w:val="0076098D"/>
    <w:rsid w:val="00761C9C"/>
    <w:rsid w:val="00763316"/>
    <w:rsid w:val="007647D2"/>
    <w:rsid w:val="007662FB"/>
    <w:rsid w:val="007666D4"/>
    <w:rsid w:val="007732EB"/>
    <w:rsid w:val="00774961"/>
    <w:rsid w:val="007753FD"/>
    <w:rsid w:val="00777D98"/>
    <w:rsid w:val="007807A1"/>
    <w:rsid w:val="007842F5"/>
    <w:rsid w:val="007861DD"/>
    <w:rsid w:val="00787B7E"/>
    <w:rsid w:val="00790225"/>
    <w:rsid w:val="00790F52"/>
    <w:rsid w:val="00791462"/>
    <w:rsid w:val="007920F7"/>
    <w:rsid w:val="00793B06"/>
    <w:rsid w:val="007941E4"/>
    <w:rsid w:val="00794A90"/>
    <w:rsid w:val="0079604B"/>
    <w:rsid w:val="00796920"/>
    <w:rsid w:val="00797580"/>
    <w:rsid w:val="00797B78"/>
    <w:rsid w:val="007A08FF"/>
    <w:rsid w:val="007A1249"/>
    <w:rsid w:val="007A1EC3"/>
    <w:rsid w:val="007A5691"/>
    <w:rsid w:val="007B2377"/>
    <w:rsid w:val="007B3D4B"/>
    <w:rsid w:val="007B5828"/>
    <w:rsid w:val="007C122E"/>
    <w:rsid w:val="007C12B4"/>
    <w:rsid w:val="007C17AA"/>
    <w:rsid w:val="007C408C"/>
    <w:rsid w:val="007C5735"/>
    <w:rsid w:val="007C5AD4"/>
    <w:rsid w:val="007C6335"/>
    <w:rsid w:val="007C728B"/>
    <w:rsid w:val="007D4B47"/>
    <w:rsid w:val="007D4D2E"/>
    <w:rsid w:val="007D53EE"/>
    <w:rsid w:val="007D604F"/>
    <w:rsid w:val="007E1BB9"/>
    <w:rsid w:val="007E1C1E"/>
    <w:rsid w:val="007E2A6A"/>
    <w:rsid w:val="007E2B51"/>
    <w:rsid w:val="007E2F5D"/>
    <w:rsid w:val="007F0A8E"/>
    <w:rsid w:val="007F11B5"/>
    <w:rsid w:val="007F1A69"/>
    <w:rsid w:val="007F1FBC"/>
    <w:rsid w:val="007F29A1"/>
    <w:rsid w:val="007F37BA"/>
    <w:rsid w:val="007F4991"/>
    <w:rsid w:val="007F5722"/>
    <w:rsid w:val="0080095D"/>
    <w:rsid w:val="008018C4"/>
    <w:rsid w:val="00803268"/>
    <w:rsid w:val="008066BF"/>
    <w:rsid w:val="00806BF7"/>
    <w:rsid w:val="008123AA"/>
    <w:rsid w:val="00812A59"/>
    <w:rsid w:val="00815574"/>
    <w:rsid w:val="008159B8"/>
    <w:rsid w:val="00816B5A"/>
    <w:rsid w:val="008238CC"/>
    <w:rsid w:val="00825062"/>
    <w:rsid w:val="00825EB5"/>
    <w:rsid w:val="00826130"/>
    <w:rsid w:val="00827406"/>
    <w:rsid w:val="00827DE3"/>
    <w:rsid w:val="00831864"/>
    <w:rsid w:val="00831C03"/>
    <w:rsid w:val="00831D74"/>
    <w:rsid w:val="00832BAA"/>
    <w:rsid w:val="008335AB"/>
    <w:rsid w:val="0083380A"/>
    <w:rsid w:val="00833C7E"/>
    <w:rsid w:val="00833FE5"/>
    <w:rsid w:val="0083430B"/>
    <w:rsid w:val="008345BA"/>
    <w:rsid w:val="008359FB"/>
    <w:rsid w:val="0083743D"/>
    <w:rsid w:val="00837830"/>
    <w:rsid w:val="00837FD1"/>
    <w:rsid w:val="0084753F"/>
    <w:rsid w:val="00847A4F"/>
    <w:rsid w:val="00847E3F"/>
    <w:rsid w:val="00847F02"/>
    <w:rsid w:val="008526A7"/>
    <w:rsid w:val="00853F53"/>
    <w:rsid w:val="00854617"/>
    <w:rsid w:val="008556AE"/>
    <w:rsid w:val="00857C75"/>
    <w:rsid w:val="00860722"/>
    <w:rsid w:val="00862B6E"/>
    <w:rsid w:val="008665A1"/>
    <w:rsid w:val="008667AA"/>
    <w:rsid w:val="00870654"/>
    <w:rsid w:val="00871092"/>
    <w:rsid w:val="0087112D"/>
    <w:rsid w:val="00871248"/>
    <w:rsid w:val="00874BE9"/>
    <w:rsid w:val="00874C8B"/>
    <w:rsid w:val="00876980"/>
    <w:rsid w:val="00877E0D"/>
    <w:rsid w:val="0088054D"/>
    <w:rsid w:val="0088201C"/>
    <w:rsid w:val="008820B4"/>
    <w:rsid w:val="00883540"/>
    <w:rsid w:val="00892FCB"/>
    <w:rsid w:val="00895815"/>
    <w:rsid w:val="008A0688"/>
    <w:rsid w:val="008A1AA1"/>
    <w:rsid w:val="008A6B23"/>
    <w:rsid w:val="008B0A52"/>
    <w:rsid w:val="008B2174"/>
    <w:rsid w:val="008B53A2"/>
    <w:rsid w:val="008B749B"/>
    <w:rsid w:val="008C049E"/>
    <w:rsid w:val="008C0C0B"/>
    <w:rsid w:val="008C2143"/>
    <w:rsid w:val="008C2FF9"/>
    <w:rsid w:val="008C41A8"/>
    <w:rsid w:val="008C4900"/>
    <w:rsid w:val="008C67C5"/>
    <w:rsid w:val="008C6D1D"/>
    <w:rsid w:val="008C7BAD"/>
    <w:rsid w:val="008D292F"/>
    <w:rsid w:val="008D2BFE"/>
    <w:rsid w:val="008D4025"/>
    <w:rsid w:val="008D4272"/>
    <w:rsid w:val="008D47AB"/>
    <w:rsid w:val="008D4FDC"/>
    <w:rsid w:val="008E0001"/>
    <w:rsid w:val="008E013E"/>
    <w:rsid w:val="008E1172"/>
    <w:rsid w:val="008E129F"/>
    <w:rsid w:val="008E1CC1"/>
    <w:rsid w:val="008E3300"/>
    <w:rsid w:val="008E3CA0"/>
    <w:rsid w:val="008E40E6"/>
    <w:rsid w:val="008F1156"/>
    <w:rsid w:val="008F530D"/>
    <w:rsid w:val="008F5C0A"/>
    <w:rsid w:val="008F6F2D"/>
    <w:rsid w:val="0090079B"/>
    <w:rsid w:val="009012C5"/>
    <w:rsid w:val="009014C6"/>
    <w:rsid w:val="009052BA"/>
    <w:rsid w:val="00906E9B"/>
    <w:rsid w:val="009104EC"/>
    <w:rsid w:val="00911DBF"/>
    <w:rsid w:val="00912DD0"/>
    <w:rsid w:val="00915A42"/>
    <w:rsid w:val="00916809"/>
    <w:rsid w:val="009227B8"/>
    <w:rsid w:val="00922864"/>
    <w:rsid w:val="009228F6"/>
    <w:rsid w:val="0092303B"/>
    <w:rsid w:val="00923624"/>
    <w:rsid w:val="009246DA"/>
    <w:rsid w:val="00924FFC"/>
    <w:rsid w:val="0092514D"/>
    <w:rsid w:val="00925A66"/>
    <w:rsid w:val="00926BCA"/>
    <w:rsid w:val="0093539D"/>
    <w:rsid w:val="009401DB"/>
    <w:rsid w:val="00941CF1"/>
    <w:rsid w:val="009424E5"/>
    <w:rsid w:val="00944A2C"/>
    <w:rsid w:val="009450AD"/>
    <w:rsid w:val="009456EA"/>
    <w:rsid w:val="00945C0F"/>
    <w:rsid w:val="00945CF6"/>
    <w:rsid w:val="00945FF7"/>
    <w:rsid w:val="009503C3"/>
    <w:rsid w:val="00950649"/>
    <w:rsid w:val="00950755"/>
    <w:rsid w:val="009528DB"/>
    <w:rsid w:val="009545F3"/>
    <w:rsid w:val="00954970"/>
    <w:rsid w:val="00954A98"/>
    <w:rsid w:val="00956952"/>
    <w:rsid w:val="00956E76"/>
    <w:rsid w:val="00960CF4"/>
    <w:rsid w:val="00962F6A"/>
    <w:rsid w:val="009632E8"/>
    <w:rsid w:val="0096366F"/>
    <w:rsid w:val="00963739"/>
    <w:rsid w:val="00963935"/>
    <w:rsid w:val="00963F3D"/>
    <w:rsid w:val="00965D9B"/>
    <w:rsid w:val="00971BEB"/>
    <w:rsid w:val="00971C15"/>
    <w:rsid w:val="00973D45"/>
    <w:rsid w:val="00981691"/>
    <w:rsid w:val="00983822"/>
    <w:rsid w:val="0098419C"/>
    <w:rsid w:val="00986BE9"/>
    <w:rsid w:val="00987C10"/>
    <w:rsid w:val="0099093B"/>
    <w:rsid w:val="0099396C"/>
    <w:rsid w:val="00993BB2"/>
    <w:rsid w:val="009951C6"/>
    <w:rsid w:val="00995FF2"/>
    <w:rsid w:val="00997CC4"/>
    <w:rsid w:val="009A0E82"/>
    <w:rsid w:val="009A350B"/>
    <w:rsid w:val="009A3569"/>
    <w:rsid w:val="009A4217"/>
    <w:rsid w:val="009A4294"/>
    <w:rsid w:val="009A49BC"/>
    <w:rsid w:val="009A6351"/>
    <w:rsid w:val="009B0B62"/>
    <w:rsid w:val="009B44C0"/>
    <w:rsid w:val="009B69A1"/>
    <w:rsid w:val="009B745A"/>
    <w:rsid w:val="009C230A"/>
    <w:rsid w:val="009C73CC"/>
    <w:rsid w:val="009C7712"/>
    <w:rsid w:val="009D0527"/>
    <w:rsid w:val="009D5A9B"/>
    <w:rsid w:val="009E1692"/>
    <w:rsid w:val="009E38D7"/>
    <w:rsid w:val="009E4010"/>
    <w:rsid w:val="009E4573"/>
    <w:rsid w:val="009E5887"/>
    <w:rsid w:val="009E62ED"/>
    <w:rsid w:val="009E65D3"/>
    <w:rsid w:val="009F4686"/>
    <w:rsid w:val="00A0154C"/>
    <w:rsid w:val="00A04515"/>
    <w:rsid w:val="00A05C8D"/>
    <w:rsid w:val="00A06612"/>
    <w:rsid w:val="00A10C99"/>
    <w:rsid w:val="00A10EB5"/>
    <w:rsid w:val="00A113D5"/>
    <w:rsid w:val="00A11D68"/>
    <w:rsid w:val="00A127C4"/>
    <w:rsid w:val="00A13AB8"/>
    <w:rsid w:val="00A14B0B"/>
    <w:rsid w:val="00A153E7"/>
    <w:rsid w:val="00A15759"/>
    <w:rsid w:val="00A17100"/>
    <w:rsid w:val="00A178DE"/>
    <w:rsid w:val="00A20936"/>
    <w:rsid w:val="00A22153"/>
    <w:rsid w:val="00A22D43"/>
    <w:rsid w:val="00A23734"/>
    <w:rsid w:val="00A275C4"/>
    <w:rsid w:val="00A27A84"/>
    <w:rsid w:val="00A27E90"/>
    <w:rsid w:val="00A30AB1"/>
    <w:rsid w:val="00A36CA8"/>
    <w:rsid w:val="00A36E92"/>
    <w:rsid w:val="00A437A4"/>
    <w:rsid w:val="00A4479D"/>
    <w:rsid w:val="00A44FF6"/>
    <w:rsid w:val="00A524CC"/>
    <w:rsid w:val="00A52C0E"/>
    <w:rsid w:val="00A53809"/>
    <w:rsid w:val="00A53CCB"/>
    <w:rsid w:val="00A561FD"/>
    <w:rsid w:val="00A600FB"/>
    <w:rsid w:val="00A6137A"/>
    <w:rsid w:val="00A6381F"/>
    <w:rsid w:val="00A662C4"/>
    <w:rsid w:val="00A66A1B"/>
    <w:rsid w:val="00A675BD"/>
    <w:rsid w:val="00A74D1E"/>
    <w:rsid w:val="00A92525"/>
    <w:rsid w:val="00A94399"/>
    <w:rsid w:val="00A97C08"/>
    <w:rsid w:val="00AA1DC5"/>
    <w:rsid w:val="00AA4713"/>
    <w:rsid w:val="00AA5FF0"/>
    <w:rsid w:val="00AA6235"/>
    <w:rsid w:val="00AB081B"/>
    <w:rsid w:val="00AB0902"/>
    <w:rsid w:val="00AB17D3"/>
    <w:rsid w:val="00AB4055"/>
    <w:rsid w:val="00AB5463"/>
    <w:rsid w:val="00AB587C"/>
    <w:rsid w:val="00AB6448"/>
    <w:rsid w:val="00AB749C"/>
    <w:rsid w:val="00AB75F2"/>
    <w:rsid w:val="00AC0BA1"/>
    <w:rsid w:val="00AC1CEC"/>
    <w:rsid w:val="00AC1EED"/>
    <w:rsid w:val="00AC1F6C"/>
    <w:rsid w:val="00AC2DA9"/>
    <w:rsid w:val="00AC6C29"/>
    <w:rsid w:val="00AD0F28"/>
    <w:rsid w:val="00AD11E0"/>
    <w:rsid w:val="00AD1BED"/>
    <w:rsid w:val="00AD36D9"/>
    <w:rsid w:val="00AD4D26"/>
    <w:rsid w:val="00AD53B9"/>
    <w:rsid w:val="00AE0CAE"/>
    <w:rsid w:val="00AE1544"/>
    <w:rsid w:val="00AE6605"/>
    <w:rsid w:val="00AF0294"/>
    <w:rsid w:val="00AF1F68"/>
    <w:rsid w:val="00AF2BE0"/>
    <w:rsid w:val="00AF506D"/>
    <w:rsid w:val="00AF5110"/>
    <w:rsid w:val="00AF5B21"/>
    <w:rsid w:val="00AF5DDD"/>
    <w:rsid w:val="00AF7BEB"/>
    <w:rsid w:val="00B0364D"/>
    <w:rsid w:val="00B04315"/>
    <w:rsid w:val="00B05DB1"/>
    <w:rsid w:val="00B07ECB"/>
    <w:rsid w:val="00B11804"/>
    <w:rsid w:val="00B11ECD"/>
    <w:rsid w:val="00B11FB4"/>
    <w:rsid w:val="00B126C8"/>
    <w:rsid w:val="00B13219"/>
    <w:rsid w:val="00B158DD"/>
    <w:rsid w:val="00B16953"/>
    <w:rsid w:val="00B16D31"/>
    <w:rsid w:val="00B1711F"/>
    <w:rsid w:val="00B17B89"/>
    <w:rsid w:val="00B21464"/>
    <w:rsid w:val="00B22151"/>
    <w:rsid w:val="00B22CBD"/>
    <w:rsid w:val="00B24694"/>
    <w:rsid w:val="00B24EC6"/>
    <w:rsid w:val="00B264AC"/>
    <w:rsid w:val="00B26EEC"/>
    <w:rsid w:val="00B27B3D"/>
    <w:rsid w:val="00B32776"/>
    <w:rsid w:val="00B32CE8"/>
    <w:rsid w:val="00B336C2"/>
    <w:rsid w:val="00B354BF"/>
    <w:rsid w:val="00B3762E"/>
    <w:rsid w:val="00B423FC"/>
    <w:rsid w:val="00B443FA"/>
    <w:rsid w:val="00B4582B"/>
    <w:rsid w:val="00B4627B"/>
    <w:rsid w:val="00B46A36"/>
    <w:rsid w:val="00B474ED"/>
    <w:rsid w:val="00B47E24"/>
    <w:rsid w:val="00B50562"/>
    <w:rsid w:val="00B53045"/>
    <w:rsid w:val="00B535A6"/>
    <w:rsid w:val="00B53687"/>
    <w:rsid w:val="00B537EC"/>
    <w:rsid w:val="00B60408"/>
    <w:rsid w:val="00B610E9"/>
    <w:rsid w:val="00B6260B"/>
    <w:rsid w:val="00B6359B"/>
    <w:rsid w:val="00B6519D"/>
    <w:rsid w:val="00B651EA"/>
    <w:rsid w:val="00B6632E"/>
    <w:rsid w:val="00B66716"/>
    <w:rsid w:val="00B67310"/>
    <w:rsid w:val="00B71773"/>
    <w:rsid w:val="00B71F10"/>
    <w:rsid w:val="00B732C0"/>
    <w:rsid w:val="00B74A7C"/>
    <w:rsid w:val="00B74D23"/>
    <w:rsid w:val="00B753FD"/>
    <w:rsid w:val="00B770AF"/>
    <w:rsid w:val="00B7797E"/>
    <w:rsid w:val="00B81D14"/>
    <w:rsid w:val="00B8569D"/>
    <w:rsid w:val="00B863AF"/>
    <w:rsid w:val="00B8741A"/>
    <w:rsid w:val="00B902EA"/>
    <w:rsid w:val="00B90FB0"/>
    <w:rsid w:val="00B94BFC"/>
    <w:rsid w:val="00B94E3A"/>
    <w:rsid w:val="00B95AD7"/>
    <w:rsid w:val="00B95D85"/>
    <w:rsid w:val="00B95D92"/>
    <w:rsid w:val="00B95E8B"/>
    <w:rsid w:val="00B96861"/>
    <w:rsid w:val="00B9791E"/>
    <w:rsid w:val="00B97A5D"/>
    <w:rsid w:val="00BA0884"/>
    <w:rsid w:val="00BA1910"/>
    <w:rsid w:val="00BA28C8"/>
    <w:rsid w:val="00BA4A2D"/>
    <w:rsid w:val="00BA4D8C"/>
    <w:rsid w:val="00BA504C"/>
    <w:rsid w:val="00BA5E94"/>
    <w:rsid w:val="00BA7C29"/>
    <w:rsid w:val="00BB3D37"/>
    <w:rsid w:val="00BB4D79"/>
    <w:rsid w:val="00BB7F2C"/>
    <w:rsid w:val="00BC0809"/>
    <w:rsid w:val="00BC1DD1"/>
    <w:rsid w:val="00BC22AB"/>
    <w:rsid w:val="00BC42D6"/>
    <w:rsid w:val="00BC4EE5"/>
    <w:rsid w:val="00BD1BB9"/>
    <w:rsid w:val="00BD1BF8"/>
    <w:rsid w:val="00BD59F9"/>
    <w:rsid w:val="00BD7082"/>
    <w:rsid w:val="00BE013F"/>
    <w:rsid w:val="00BE2A5C"/>
    <w:rsid w:val="00BE2BB6"/>
    <w:rsid w:val="00BE4178"/>
    <w:rsid w:val="00BE4607"/>
    <w:rsid w:val="00BE7522"/>
    <w:rsid w:val="00BF0D4D"/>
    <w:rsid w:val="00BF30F9"/>
    <w:rsid w:val="00BF39B6"/>
    <w:rsid w:val="00BF3F74"/>
    <w:rsid w:val="00BF48CA"/>
    <w:rsid w:val="00BF5600"/>
    <w:rsid w:val="00BF66F7"/>
    <w:rsid w:val="00BF6984"/>
    <w:rsid w:val="00BF6CEF"/>
    <w:rsid w:val="00BF76BB"/>
    <w:rsid w:val="00C022B0"/>
    <w:rsid w:val="00C037B2"/>
    <w:rsid w:val="00C072E8"/>
    <w:rsid w:val="00C11245"/>
    <w:rsid w:val="00C15449"/>
    <w:rsid w:val="00C16177"/>
    <w:rsid w:val="00C16836"/>
    <w:rsid w:val="00C22493"/>
    <w:rsid w:val="00C2277F"/>
    <w:rsid w:val="00C23426"/>
    <w:rsid w:val="00C23C50"/>
    <w:rsid w:val="00C24A19"/>
    <w:rsid w:val="00C27FB4"/>
    <w:rsid w:val="00C3070B"/>
    <w:rsid w:val="00C3113E"/>
    <w:rsid w:val="00C31CD5"/>
    <w:rsid w:val="00C32082"/>
    <w:rsid w:val="00C3208A"/>
    <w:rsid w:val="00C3395D"/>
    <w:rsid w:val="00C343FB"/>
    <w:rsid w:val="00C3716A"/>
    <w:rsid w:val="00C40B16"/>
    <w:rsid w:val="00C442A1"/>
    <w:rsid w:val="00C44755"/>
    <w:rsid w:val="00C44F88"/>
    <w:rsid w:val="00C464CA"/>
    <w:rsid w:val="00C51329"/>
    <w:rsid w:val="00C528F1"/>
    <w:rsid w:val="00C52DCC"/>
    <w:rsid w:val="00C53999"/>
    <w:rsid w:val="00C5531E"/>
    <w:rsid w:val="00C55AE0"/>
    <w:rsid w:val="00C56638"/>
    <w:rsid w:val="00C56BDB"/>
    <w:rsid w:val="00C5704A"/>
    <w:rsid w:val="00C607A9"/>
    <w:rsid w:val="00C61CBD"/>
    <w:rsid w:val="00C655FD"/>
    <w:rsid w:val="00C667FF"/>
    <w:rsid w:val="00C70594"/>
    <w:rsid w:val="00C7300A"/>
    <w:rsid w:val="00C73D27"/>
    <w:rsid w:val="00C769A0"/>
    <w:rsid w:val="00C77545"/>
    <w:rsid w:val="00C800FE"/>
    <w:rsid w:val="00C80344"/>
    <w:rsid w:val="00C80A7E"/>
    <w:rsid w:val="00C812A8"/>
    <w:rsid w:val="00C823AE"/>
    <w:rsid w:val="00C8685D"/>
    <w:rsid w:val="00C94750"/>
    <w:rsid w:val="00C961FA"/>
    <w:rsid w:val="00CA3730"/>
    <w:rsid w:val="00CA3D49"/>
    <w:rsid w:val="00CA54F5"/>
    <w:rsid w:val="00CA6CF0"/>
    <w:rsid w:val="00CB4747"/>
    <w:rsid w:val="00CB5581"/>
    <w:rsid w:val="00CB5ADB"/>
    <w:rsid w:val="00CB6A45"/>
    <w:rsid w:val="00CB7F11"/>
    <w:rsid w:val="00CC0177"/>
    <w:rsid w:val="00CC2B46"/>
    <w:rsid w:val="00CC33A6"/>
    <w:rsid w:val="00CC4A32"/>
    <w:rsid w:val="00CC6416"/>
    <w:rsid w:val="00CC66DB"/>
    <w:rsid w:val="00CD3127"/>
    <w:rsid w:val="00CD50E7"/>
    <w:rsid w:val="00CD72C1"/>
    <w:rsid w:val="00CD7BC6"/>
    <w:rsid w:val="00CE1244"/>
    <w:rsid w:val="00CE1B39"/>
    <w:rsid w:val="00CE519A"/>
    <w:rsid w:val="00CF5361"/>
    <w:rsid w:val="00CF75AD"/>
    <w:rsid w:val="00D002D9"/>
    <w:rsid w:val="00D01610"/>
    <w:rsid w:val="00D01EBA"/>
    <w:rsid w:val="00D021B4"/>
    <w:rsid w:val="00D030A8"/>
    <w:rsid w:val="00D04190"/>
    <w:rsid w:val="00D06997"/>
    <w:rsid w:val="00D11CF7"/>
    <w:rsid w:val="00D11D20"/>
    <w:rsid w:val="00D1392F"/>
    <w:rsid w:val="00D13A88"/>
    <w:rsid w:val="00D171E9"/>
    <w:rsid w:val="00D176E2"/>
    <w:rsid w:val="00D20CAE"/>
    <w:rsid w:val="00D21D43"/>
    <w:rsid w:val="00D22CE6"/>
    <w:rsid w:val="00D2426D"/>
    <w:rsid w:val="00D2528D"/>
    <w:rsid w:val="00D26A8D"/>
    <w:rsid w:val="00D33289"/>
    <w:rsid w:val="00D40D74"/>
    <w:rsid w:val="00D41BFA"/>
    <w:rsid w:val="00D427F2"/>
    <w:rsid w:val="00D448B9"/>
    <w:rsid w:val="00D46CB4"/>
    <w:rsid w:val="00D47535"/>
    <w:rsid w:val="00D50A13"/>
    <w:rsid w:val="00D50FBA"/>
    <w:rsid w:val="00D52C9C"/>
    <w:rsid w:val="00D531A0"/>
    <w:rsid w:val="00D54D60"/>
    <w:rsid w:val="00D558FD"/>
    <w:rsid w:val="00D57C10"/>
    <w:rsid w:val="00D64715"/>
    <w:rsid w:val="00D727F0"/>
    <w:rsid w:val="00D737FA"/>
    <w:rsid w:val="00D7483E"/>
    <w:rsid w:val="00D74934"/>
    <w:rsid w:val="00D77B3B"/>
    <w:rsid w:val="00D80185"/>
    <w:rsid w:val="00D81CE0"/>
    <w:rsid w:val="00D821CE"/>
    <w:rsid w:val="00D83A94"/>
    <w:rsid w:val="00D86357"/>
    <w:rsid w:val="00D91A46"/>
    <w:rsid w:val="00D924F5"/>
    <w:rsid w:val="00D936EF"/>
    <w:rsid w:val="00D96AB1"/>
    <w:rsid w:val="00DA0D38"/>
    <w:rsid w:val="00DA34F1"/>
    <w:rsid w:val="00DA3F01"/>
    <w:rsid w:val="00DA5203"/>
    <w:rsid w:val="00DA594F"/>
    <w:rsid w:val="00DA6453"/>
    <w:rsid w:val="00DA7502"/>
    <w:rsid w:val="00DA769F"/>
    <w:rsid w:val="00DB1054"/>
    <w:rsid w:val="00DB1507"/>
    <w:rsid w:val="00DB188B"/>
    <w:rsid w:val="00DB1CF7"/>
    <w:rsid w:val="00DB30FE"/>
    <w:rsid w:val="00DB5D68"/>
    <w:rsid w:val="00DB5F79"/>
    <w:rsid w:val="00DC3B78"/>
    <w:rsid w:val="00DC4666"/>
    <w:rsid w:val="00DC5C57"/>
    <w:rsid w:val="00DC6223"/>
    <w:rsid w:val="00DC636F"/>
    <w:rsid w:val="00DC7975"/>
    <w:rsid w:val="00DD03C5"/>
    <w:rsid w:val="00DD0C65"/>
    <w:rsid w:val="00DD164A"/>
    <w:rsid w:val="00DD228C"/>
    <w:rsid w:val="00DD272D"/>
    <w:rsid w:val="00DD3747"/>
    <w:rsid w:val="00DD5E99"/>
    <w:rsid w:val="00DD647F"/>
    <w:rsid w:val="00DD7759"/>
    <w:rsid w:val="00DE0AC8"/>
    <w:rsid w:val="00DE17B5"/>
    <w:rsid w:val="00DE7ECB"/>
    <w:rsid w:val="00DF0D38"/>
    <w:rsid w:val="00DF12DD"/>
    <w:rsid w:val="00DF1A56"/>
    <w:rsid w:val="00DF694F"/>
    <w:rsid w:val="00DF753C"/>
    <w:rsid w:val="00DF7F57"/>
    <w:rsid w:val="00E01FDC"/>
    <w:rsid w:val="00E027A2"/>
    <w:rsid w:val="00E03708"/>
    <w:rsid w:val="00E0481C"/>
    <w:rsid w:val="00E0615F"/>
    <w:rsid w:val="00E10013"/>
    <w:rsid w:val="00E107EA"/>
    <w:rsid w:val="00E11D81"/>
    <w:rsid w:val="00E13490"/>
    <w:rsid w:val="00E1424C"/>
    <w:rsid w:val="00E14FAB"/>
    <w:rsid w:val="00E173BF"/>
    <w:rsid w:val="00E17D6B"/>
    <w:rsid w:val="00E2480B"/>
    <w:rsid w:val="00E24924"/>
    <w:rsid w:val="00E25C09"/>
    <w:rsid w:val="00E31DA6"/>
    <w:rsid w:val="00E34FCC"/>
    <w:rsid w:val="00E373E3"/>
    <w:rsid w:val="00E40CB4"/>
    <w:rsid w:val="00E41965"/>
    <w:rsid w:val="00E43AD6"/>
    <w:rsid w:val="00E43ED2"/>
    <w:rsid w:val="00E44AA6"/>
    <w:rsid w:val="00E45FD7"/>
    <w:rsid w:val="00E46FB4"/>
    <w:rsid w:val="00E479D8"/>
    <w:rsid w:val="00E47D0D"/>
    <w:rsid w:val="00E502A5"/>
    <w:rsid w:val="00E530F0"/>
    <w:rsid w:val="00E55E95"/>
    <w:rsid w:val="00E608A1"/>
    <w:rsid w:val="00E60C53"/>
    <w:rsid w:val="00E6179C"/>
    <w:rsid w:val="00E649F8"/>
    <w:rsid w:val="00E664D4"/>
    <w:rsid w:val="00E70EEF"/>
    <w:rsid w:val="00E70F68"/>
    <w:rsid w:val="00E7148D"/>
    <w:rsid w:val="00E717A8"/>
    <w:rsid w:val="00E71857"/>
    <w:rsid w:val="00E71B8B"/>
    <w:rsid w:val="00E7345D"/>
    <w:rsid w:val="00E74E66"/>
    <w:rsid w:val="00E75EBC"/>
    <w:rsid w:val="00E8074B"/>
    <w:rsid w:val="00E811E8"/>
    <w:rsid w:val="00E84807"/>
    <w:rsid w:val="00E85621"/>
    <w:rsid w:val="00E863DC"/>
    <w:rsid w:val="00E8771E"/>
    <w:rsid w:val="00E92404"/>
    <w:rsid w:val="00E92C71"/>
    <w:rsid w:val="00E96EE9"/>
    <w:rsid w:val="00EA0244"/>
    <w:rsid w:val="00EA071E"/>
    <w:rsid w:val="00EA07FD"/>
    <w:rsid w:val="00EA1791"/>
    <w:rsid w:val="00EA1C39"/>
    <w:rsid w:val="00EA4495"/>
    <w:rsid w:val="00EA5649"/>
    <w:rsid w:val="00EA5925"/>
    <w:rsid w:val="00EB08EF"/>
    <w:rsid w:val="00EB2B4A"/>
    <w:rsid w:val="00EB3DB0"/>
    <w:rsid w:val="00EB4081"/>
    <w:rsid w:val="00EC14FF"/>
    <w:rsid w:val="00EC1DA8"/>
    <w:rsid w:val="00EC3D47"/>
    <w:rsid w:val="00EC444A"/>
    <w:rsid w:val="00EC79FD"/>
    <w:rsid w:val="00EC7A93"/>
    <w:rsid w:val="00EC7DF7"/>
    <w:rsid w:val="00ED31DB"/>
    <w:rsid w:val="00ED491F"/>
    <w:rsid w:val="00ED5A08"/>
    <w:rsid w:val="00ED6E71"/>
    <w:rsid w:val="00EE0544"/>
    <w:rsid w:val="00EE155E"/>
    <w:rsid w:val="00EE2906"/>
    <w:rsid w:val="00EE6293"/>
    <w:rsid w:val="00EE6828"/>
    <w:rsid w:val="00EE7237"/>
    <w:rsid w:val="00EF05B1"/>
    <w:rsid w:val="00EF45D4"/>
    <w:rsid w:val="00F00CC9"/>
    <w:rsid w:val="00F0207F"/>
    <w:rsid w:val="00F03378"/>
    <w:rsid w:val="00F04A8A"/>
    <w:rsid w:val="00F07E29"/>
    <w:rsid w:val="00F148A7"/>
    <w:rsid w:val="00F150B4"/>
    <w:rsid w:val="00F200B1"/>
    <w:rsid w:val="00F20335"/>
    <w:rsid w:val="00F20EDF"/>
    <w:rsid w:val="00F21766"/>
    <w:rsid w:val="00F23127"/>
    <w:rsid w:val="00F238F6"/>
    <w:rsid w:val="00F2413C"/>
    <w:rsid w:val="00F26E16"/>
    <w:rsid w:val="00F27862"/>
    <w:rsid w:val="00F3094E"/>
    <w:rsid w:val="00F314A1"/>
    <w:rsid w:val="00F3257F"/>
    <w:rsid w:val="00F35479"/>
    <w:rsid w:val="00F35BED"/>
    <w:rsid w:val="00F37129"/>
    <w:rsid w:val="00F4402C"/>
    <w:rsid w:val="00F45943"/>
    <w:rsid w:val="00F45CFD"/>
    <w:rsid w:val="00F4722A"/>
    <w:rsid w:val="00F5680D"/>
    <w:rsid w:val="00F57D62"/>
    <w:rsid w:val="00F60289"/>
    <w:rsid w:val="00F60C56"/>
    <w:rsid w:val="00F61209"/>
    <w:rsid w:val="00F625C9"/>
    <w:rsid w:val="00F6571F"/>
    <w:rsid w:val="00F6675F"/>
    <w:rsid w:val="00F701B5"/>
    <w:rsid w:val="00F710A1"/>
    <w:rsid w:val="00F730E9"/>
    <w:rsid w:val="00F73A5E"/>
    <w:rsid w:val="00F74EDB"/>
    <w:rsid w:val="00F7587C"/>
    <w:rsid w:val="00F76729"/>
    <w:rsid w:val="00F76D39"/>
    <w:rsid w:val="00F7784D"/>
    <w:rsid w:val="00F81563"/>
    <w:rsid w:val="00F82444"/>
    <w:rsid w:val="00F828C2"/>
    <w:rsid w:val="00F83E6B"/>
    <w:rsid w:val="00F90D6D"/>
    <w:rsid w:val="00F90DF7"/>
    <w:rsid w:val="00F91B90"/>
    <w:rsid w:val="00F92042"/>
    <w:rsid w:val="00F95100"/>
    <w:rsid w:val="00F95DD7"/>
    <w:rsid w:val="00F97B81"/>
    <w:rsid w:val="00FA0735"/>
    <w:rsid w:val="00FA0A36"/>
    <w:rsid w:val="00FA3567"/>
    <w:rsid w:val="00FA3604"/>
    <w:rsid w:val="00FA4373"/>
    <w:rsid w:val="00FA43FD"/>
    <w:rsid w:val="00FA4465"/>
    <w:rsid w:val="00FA5185"/>
    <w:rsid w:val="00FA56D2"/>
    <w:rsid w:val="00FA6C7D"/>
    <w:rsid w:val="00FB184A"/>
    <w:rsid w:val="00FB2D58"/>
    <w:rsid w:val="00FB41AA"/>
    <w:rsid w:val="00FB434D"/>
    <w:rsid w:val="00FB551B"/>
    <w:rsid w:val="00FB6004"/>
    <w:rsid w:val="00FB74FE"/>
    <w:rsid w:val="00FC4016"/>
    <w:rsid w:val="00FC42B4"/>
    <w:rsid w:val="00FC4905"/>
    <w:rsid w:val="00FD19F3"/>
    <w:rsid w:val="00FD226D"/>
    <w:rsid w:val="00FD3ABA"/>
    <w:rsid w:val="00FD42BB"/>
    <w:rsid w:val="00FD6063"/>
    <w:rsid w:val="00FE1D16"/>
    <w:rsid w:val="00FE1FD5"/>
    <w:rsid w:val="00FE32A4"/>
    <w:rsid w:val="00FE52D9"/>
    <w:rsid w:val="00FE59E4"/>
    <w:rsid w:val="00FE5DCF"/>
    <w:rsid w:val="00FE7B44"/>
    <w:rsid w:val="00FE7BC5"/>
    <w:rsid w:val="00FF06B9"/>
    <w:rsid w:val="00FF2280"/>
    <w:rsid w:val="00FF5098"/>
    <w:rsid w:val="00FF6D69"/>
    <w:rsid w:val="00FF70E1"/>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108A6"/>
  <w15:chartTrackingRefBased/>
  <w15:docId w15:val="{1C714635-B8EB-4823-A3E4-2E69AE09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398"/>
    <w:pPr>
      <w:spacing w:after="200" w:line="276" w:lineRule="auto"/>
    </w:pPr>
  </w:style>
  <w:style w:type="paragraph" w:styleId="Heading1">
    <w:name w:val="heading 1"/>
    <w:basedOn w:val="TableofFigures"/>
    <w:next w:val="Normal"/>
    <w:link w:val="Heading1Char"/>
    <w:uiPriority w:val="9"/>
    <w:qFormat/>
    <w:rsid w:val="003F7FE4"/>
    <w:pPr>
      <w:keepNext w:val="0"/>
      <w:widowControl w:val="0"/>
      <w:tabs>
        <w:tab w:val="right" w:leader="dot" w:pos="8640"/>
      </w:tabs>
      <w:outlineLvl w:val="0"/>
    </w:pPr>
    <w:rPr>
      <w:b/>
      <w:noProof/>
    </w:rPr>
  </w:style>
  <w:style w:type="paragraph" w:styleId="Heading2">
    <w:name w:val="heading 2"/>
    <w:basedOn w:val="Normal"/>
    <w:next w:val="Normal"/>
    <w:link w:val="Heading2Char"/>
    <w:uiPriority w:val="9"/>
    <w:unhideWhenUsed/>
    <w:qFormat/>
    <w:rsid w:val="003F7FE4"/>
    <w:pPr>
      <w:widowControl w:val="0"/>
      <w:spacing w:after="0" w:line="480" w:lineRule="auto"/>
      <w:jc w:val="center"/>
      <w:outlineLvl w:val="1"/>
    </w:pPr>
    <w:rPr>
      <w:rFonts w:ascii="Times New Roman" w:eastAsiaTheme="minorEastAsia" w:hAnsi="Times New Roman" w:cs="Times New Roman"/>
      <w:b/>
      <w:color w:val="000000" w:themeColor="text1"/>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7FE4"/>
    <w:rPr>
      <w:rFonts w:ascii="Times New Roman" w:eastAsiaTheme="minorEastAsia" w:hAnsi="Times New Roman" w:cs="Times New Roman"/>
      <w:b/>
      <w:color w:val="000000" w:themeColor="text1"/>
      <w:kern w:val="24"/>
      <w:sz w:val="24"/>
      <w:szCs w:val="24"/>
    </w:rPr>
  </w:style>
  <w:style w:type="character" w:styleId="CommentReference">
    <w:name w:val="annotation reference"/>
    <w:basedOn w:val="DefaultParagraphFont"/>
    <w:uiPriority w:val="99"/>
    <w:semiHidden/>
    <w:unhideWhenUsed/>
    <w:rsid w:val="004B5398"/>
    <w:rPr>
      <w:sz w:val="16"/>
      <w:szCs w:val="16"/>
    </w:rPr>
  </w:style>
  <w:style w:type="paragraph" w:styleId="CommentText">
    <w:name w:val="annotation text"/>
    <w:basedOn w:val="Normal"/>
    <w:link w:val="CommentTextChar"/>
    <w:unhideWhenUsed/>
    <w:rsid w:val="004B5398"/>
    <w:pPr>
      <w:spacing w:line="240" w:lineRule="auto"/>
    </w:pPr>
    <w:rPr>
      <w:sz w:val="20"/>
      <w:szCs w:val="20"/>
    </w:rPr>
  </w:style>
  <w:style w:type="character" w:customStyle="1" w:styleId="CommentTextChar">
    <w:name w:val="Comment Text Char"/>
    <w:basedOn w:val="DefaultParagraphFont"/>
    <w:link w:val="CommentText"/>
    <w:rsid w:val="004B5398"/>
    <w:rPr>
      <w:sz w:val="20"/>
      <w:szCs w:val="20"/>
    </w:rPr>
  </w:style>
  <w:style w:type="table" w:styleId="TableGrid">
    <w:name w:val="Table Grid"/>
    <w:aliases w:val="Table Grid Header"/>
    <w:basedOn w:val="TableNormal"/>
    <w:uiPriority w:val="59"/>
    <w:rsid w:val="004B5398"/>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5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398"/>
    <w:rPr>
      <w:rFonts w:ascii="Segoe UI" w:hAnsi="Segoe UI" w:cs="Segoe UI"/>
      <w:sz w:val="18"/>
      <w:szCs w:val="18"/>
    </w:rPr>
  </w:style>
  <w:style w:type="paragraph" w:styleId="Header">
    <w:name w:val="header"/>
    <w:basedOn w:val="Normal"/>
    <w:link w:val="HeaderChar"/>
    <w:uiPriority w:val="99"/>
    <w:unhideWhenUsed/>
    <w:rsid w:val="00631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E34"/>
  </w:style>
  <w:style w:type="paragraph" w:styleId="Footer">
    <w:name w:val="footer"/>
    <w:basedOn w:val="Normal"/>
    <w:link w:val="FooterChar"/>
    <w:uiPriority w:val="99"/>
    <w:unhideWhenUsed/>
    <w:rsid w:val="00631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E34"/>
  </w:style>
  <w:style w:type="paragraph" w:styleId="CommentSubject">
    <w:name w:val="annotation subject"/>
    <w:basedOn w:val="CommentText"/>
    <w:next w:val="CommentText"/>
    <w:link w:val="CommentSubjectChar"/>
    <w:uiPriority w:val="99"/>
    <w:semiHidden/>
    <w:unhideWhenUsed/>
    <w:rsid w:val="001F5240"/>
    <w:rPr>
      <w:b/>
      <w:bCs/>
    </w:rPr>
  </w:style>
  <w:style w:type="character" w:customStyle="1" w:styleId="CommentSubjectChar">
    <w:name w:val="Comment Subject Char"/>
    <w:basedOn w:val="CommentTextChar"/>
    <w:link w:val="CommentSubject"/>
    <w:uiPriority w:val="99"/>
    <w:semiHidden/>
    <w:rsid w:val="001F5240"/>
    <w:rPr>
      <w:b/>
      <w:bCs/>
      <w:sz w:val="20"/>
      <w:szCs w:val="20"/>
    </w:rPr>
  </w:style>
  <w:style w:type="paragraph" w:styleId="TableofFigures">
    <w:name w:val="table of figures"/>
    <w:basedOn w:val="Normal"/>
    <w:next w:val="Normal"/>
    <w:uiPriority w:val="99"/>
    <w:unhideWhenUsed/>
    <w:rsid w:val="00FB41AA"/>
    <w:pPr>
      <w:keepNext/>
      <w:spacing w:after="0" w:line="48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FB41AA"/>
    <w:pPr>
      <w:spacing w:after="0" w:line="240" w:lineRule="auto"/>
      <w:ind w:left="720"/>
      <w:contextualSpacing/>
    </w:pPr>
    <w:rPr>
      <w:rFonts w:ascii="Times New Roman" w:eastAsia="Times New Roman" w:hAnsi="Times New Roman" w:cs="Times New Roman"/>
      <w:sz w:val="24"/>
      <w:szCs w:val="24"/>
      <w:lang w:val="en-GB" w:eastAsia="en-GB"/>
    </w:rPr>
  </w:style>
  <w:style w:type="paragraph" w:styleId="ListBullet3">
    <w:name w:val="List Bullet 3"/>
    <w:basedOn w:val="ListBullet"/>
    <w:uiPriority w:val="99"/>
    <w:unhideWhenUsed/>
    <w:qFormat/>
    <w:rsid w:val="00FB41AA"/>
    <w:pPr>
      <w:keepNext/>
      <w:numPr>
        <w:numId w:val="1"/>
      </w:numPr>
      <w:tabs>
        <w:tab w:val="clear" w:pos="1080"/>
        <w:tab w:val="num" w:pos="360"/>
        <w:tab w:val="num" w:pos="720"/>
      </w:tabs>
      <w:spacing w:after="0" w:line="480" w:lineRule="auto"/>
      <w:ind w:left="360" w:hanging="720"/>
    </w:pPr>
    <w:rPr>
      <w:rFonts w:ascii="Times New Roman" w:eastAsia="Times New Roman" w:hAnsi="Times New Roman" w:cs="Times New Roman"/>
      <w:sz w:val="24"/>
      <w:szCs w:val="24"/>
    </w:rPr>
  </w:style>
  <w:style w:type="paragraph" w:styleId="NoSpacing">
    <w:name w:val="No Spacing"/>
    <w:uiPriority w:val="1"/>
    <w:qFormat/>
    <w:rsid w:val="00FB41AA"/>
    <w:pPr>
      <w:spacing w:after="0" w:line="240" w:lineRule="auto"/>
    </w:pPr>
  </w:style>
  <w:style w:type="paragraph" w:styleId="ListBullet">
    <w:name w:val="List Bullet"/>
    <w:basedOn w:val="Normal"/>
    <w:uiPriority w:val="99"/>
    <w:semiHidden/>
    <w:unhideWhenUsed/>
    <w:rsid w:val="00FB41AA"/>
    <w:pPr>
      <w:numPr>
        <w:numId w:val="2"/>
      </w:numPr>
      <w:contextualSpacing/>
    </w:pPr>
  </w:style>
  <w:style w:type="character" w:styleId="Hyperlink">
    <w:name w:val="Hyperlink"/>
    <w:basedOn w:val="DefaultParagraphFont"/>
    <w:uiPriority w:val="99"/>
    <w:unhideWhenUsed/>
    <w:rsid w:val="00513BA0"/>
    <w:rPr>
      <w:color w:val="0563C1" w:themeColor="hyperlink"/>
      <w:u w:val="single"/>
    </w:rPr>
  </w:style>
  <w:style w:type="character" w:customStyle="1" w:styleId="UnresolvedMention1">
    <w:name w:val="Unresolved Mention1"/>
    <w:basedOn w:val="DefaultParagraphFont"/>
    <w:uiPriority w:val="99"/>
    <w:semiHidden/>
    <w:unhideWhenUsed/>
    <w:rsid w:val="00513BA0"/>
    <w:rPr>
      <w:color w:val="605E5C"/>
      <w:shd w:val="clear" w:color="auto" w:fill="E1DFDD"/>
    </w:rPr>
  </w:style>
  <w:style w:type="character" w:styleId="FollowedHyperlink">
    <w:name w:val="FollowedHyperlink"/>
    <w:basedOn w:val="DefaultParagraphFont"/>
    <w:uiPriority w:val="99"/>
    <w:semiHidden/>
    <w:unhideWhenUsed/>
    <w:rsid w:val="007941E4"/>
    <w:rPr>
      <w:color w:val="954F72" w:themeColor="followedHyperlink"/>
      <w:u w:val="single"/>
    </w:rPr>
  </w:style>
  <w:style w:type="paragraph" w:styleId="Revision">
    <w:name w:val="Revision"/>
    <w:hidden/>
    <w:uiPriority w:val="99"/>
    <w:semiHidden/>
    <w:rsid w:val="000958D8"/>
    <w:pPr>
      <w:spacing w:after="0" w:line="240" w:lineRule="auto"/>
    </w:pPr>
  </w:style>
  <w:style w:type="character" w:customStyle="1" w:styleId="UnresolvedMention2">
    <w:name w:val="Unresolved Mention2"/>
    <w:basedOn w:val="DefaultParagraphFont"/>
    <w:uiPriority w:val="99"/>
    <w:semiHidden/>
    <w:unhideWhenUsed/>
    <w:rsid w:val="00F20335"/>
    <w:rPr>
      <w:color w:val="605E5C"/>
      <w:shd w:val="clear" w:color="auto" w:fill="E1DFDD"/>
    </w:rPr>
  </w:style>
  <w:style w:type="paragraph" w:customStyle="1" w:styleId="Default">
    <w:name w:val="Default"/>
    <w:rsid w:val="00E0615F"/>
    <w:pPr>
      <w:autoSpaceDE w:val="0"/>
      <w:autoSpaceDN w:val="0"/>
      <w:adjustRightInd w:val="0"/>
      <w:spacing w:after="0" w:line="240" w:lineRule="auto"/>
    </w:pPr>
    <w:rPr>
      <w:rFonts w:ascii="Cambria" w:hAnsi="Cambria" w:cs="Cambria"/>
      <w:color w:val="000000"/>
      <w:sz w:val="24"/>
      <w:szCs w:val="24"/>
    </w:rPr>
  </w:style>
  <w:style w:type="paragraph" w:customStyle="1" w:styleId="TableTitle">
    <w:name w:val="Table Title"/>
    <w:basedOn w:val="Normal"/>
    <w:next w:val="Normal"/>
    <w:link w:val="TableTitleCharChar"/>
    <w:rsid w:val="003F2B4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autoSpaceDE w:val="0"/>
      <w:autoSpaceDN w:val="0"/>
      <w:adjustRightInd w:val="0"/>
      <w:spacing w:after="0" w:line="240" w:lineRule="auto"/>
    </w:pPr>
    <w:rPr>
      <w:rFonts w:ascii="Times New Roman" w:eastAsia="Times New Roman" w:hAnsi="Times New Roman" w:cs="Times New Roman"/>
      <w:iCs/>
      <w:sz w:val="24"/>
      <w:szCs w:val="24"/>
    </w:rPr>
  </w:style>
  <w:style w:type="character" w:customStyle="1" w:styleId="TableTitleCharChar">
    <w:name w:val="Table Title Char Char"/>
    <w:basedOn w:val="DefaultParagraphFont"/>
    <w:link w:val="TableTitle"/>
    <w:rsid w:val="003F2B44"/>
    <w:rPr>
      <w:rFonts w:ascii="Times New Roman" w:eastAsia="Times New Roman" w:hAnsi="Times New Roman" w:cs="Times New Roman"/>
      <w:iCs/>
      <w:sz w:val="24"/>
      <w:szCs w:val="24"/>
    </w:rPr>
  </w:style>
  <w:style w:type="paragraph" w:customStyle="1" w:styleId="TableSubtitle">
    <w:name w:val="Table Subtitle"/>
    <w:basedOn w:val="BodyText"/>
    <w:next w:val="NormalIndent"/>
    <w:link w:val="TableSubtitleChar"/>
    <w:qFormat/>
    <w:rsid w:val="003F2B44"/>
    <w:pPr>
      <w:keepNext/>
      <w:autoSpaceDE w:val="0"/>
      <w:autoSpaceDN w:val="0"/>
      <w:adjustRightInd w:val="0"/>
      <w:snapToGrid w:val="0"/>
      <w:spacing w:before="120" w:after="0" w:line="480" w:lineRule="auto"/>
    </w:pPr>
    <w:rPr>
      <w:rFonts w:ascii="Times New Roman" w:eastAsia="Times New Roman" w:hAnsi="Times New Roman" w:cs="Times New Roman"/>
      <w:i/>
      <w:sz w:val="24"/>
      <w:szCs w:val="24"/>
    </w:rPr>
  </w:style>
  <w:style w:type="character" w:customStyle="1" w:styleId="TableSubtitleChar">
    <w:name w:val="Table Subtitle Char"/>
    <w:basedOn w:val="BodyTextChar"/>
    <w:link w:val="TableSubtitle"/>
    <w:rsid w:val="003F2B44"/>
    <w:rPr>
      <w:rFonts w:ascii="Times New Roman" w:eastAsia="Times New Roman" w:hAnsi="Times New Roman" w:cs="Times New Roman"/>
      <w:i/>
      <w:sz w:val="24"/>
      <w:szCs w:val="24"/>
    </w:rPr>
  </w:style>
  <w:style w:type="paragraph" w:styleId="BodyText">
    <w:name w:val="Body Text"/>
    <w:basedOn w:val="Normal"/>
    <w:link w:val="BodyTextChar"/>
    <w:uiPriority w:val="99"/>
    <w:semiHidden/>
    <w:unhideWhenUsed/>
    <w:rsid w:val="003F2B44"/>
    <w:pPr>
      <w:spacing w:after="120"/>
    </w:pPr>
  </w:style>
  <w:style w:type="character" w:customStyle="1" w:styleId="BodyTextChar">
    <w:name w:val="Body Text Char"/>
    <w:basedOn w:val="DefaultParagraphFont"/>
    <w:link w:val="BodyText"/>
    <w:uiPriority w:val="99"/>
    <w:semiHidden/>
    <w:rsid w:val="003F2B44"/>
  </w:style>
  <w:style w:type="paragraph" w:styleId="NormalIndent">
    <w:name w:val="Normal Indent"/>
    <w:basedOn w:val="Normal"/>
    <w:uiPriority w:val="99"/>
    <w:semiHidden/>
    <w:unhideWhenUsed/>
    <w:rsid w:val="003F2B44"/>
    <w:pPr>
      <w:ind w:left="720"/>
    </w:pPr>
  </w:style>
  <w:style w:type="character" w:customStyle="1" w:styleId="UnresolvedMention3">
    <w:name w:val="Unresolved Mention3"/>
    <w:basedOn w:val="DefaultParagraphFont"/>
    <w:uiPriority w:val="99"/>
    <w:semiHidden/>
    <w:unhideWhenUsed/>
    <w:rsid w:val="002F08EE"/>
    <w:rPr>
      <w:color w:val="605E5C"/>
      <w:shd w:val="clear" w:color="auto" w:fill="E1DFDD"/>
    </w:rPr>
  </w:style>
  <w:style w:type="character" w:customStyle="1" w:styleId="UnresolvedMention4">
    <w:name w:val="Unresolved Mention4"/>
    <w:basedOn w:val="DefaultParagraphFont"/>
    <w:uiPriority w:val="99"/>
    <w:semiHidden/>
    <w:unhideWhenUsed/>
    <w:rsid w:val="00847F02"/>
    <w:rPr>
      <w:color w:val="605E5C"/>
      <w:shd w:val="clear" w:color="auto" w:fill="E1DFDD"/>
    </w:rPr>
  </w:style>
  <w:style w:type="character" w:styleId="UnresolvedMention">
    <w:name w:val="Unresolved Mention"/>
    <w:basedOn w:val="DefaultParagraphFont"/>
    <w:uiPriority w:val="99"/>
    <w:semiHidden/>
    <w:unhideWhenUsed/>
    <w:rsid w:val="00A178DE"/>
    <w:rPr>
      <w:color w:val="605E5C"/>
      <w:shd w:val="clear" w:color="auto" w:fill="E1DFDD"/>
    </w:rPr>
  </w:style>
  <w:style w:type="character" w:customStyle="1" w:styleId="Heading1Char">
    <w:name w:val="Heading 1 Char"/>
    <w:basedOn w:val="DefaultParagraphFont"/>
    <w:link w:val="Heading1"/>
    <w:uiPriority w:val="9"/>
    <w:rsid w:val="003F7FE4"/>
    <w:rPr>
      <w:rFonts w:ascii="Times New Roman" w:eastAsia="Times New Roman" w:hAnsi="Times New Roman" w:cs="Times New Roman"/>
      <w:b/>
      <w:noProof/>
      <w:sz w:val="24"/>
      <w:szCs w:val="20"/>
    </w:rPr>
  </w:style>
  <w:style w:type="paragraph" w:styleId="TOCHeading">
    <w:name w:val="TOC Heading"/>
    <w:basedOn w:val="Heading1"/>
    <w:next w:val="Normal"/>
    <w:uiPriority w:val="39"/>
    <w:unhideWhenUsed/>
    <w:qFormat/>
    <w:rsid w:val="00F150B4"/>
    <w:pPr>
      <w:keepNext/>
      <w:keepLines/>
      <w:widowControl/>
      <w:tabs>
        <w:tab w:val="clear" w:pos="8640"/>
      </w:tabs>
      <w:spacing w:before="240" w:line="259" w:lineRule="auto"/>
      <w:outlineLvl w:val="9"/>
    </w:pPr>
    <w:rPr>
      <w:rFonts w:asciiTheme="majorHAnsi" w:eastAsiaTheme="majorEastAsia" w:hAnsiTheme="majorHAnsi" w:cstheme="majorBidi"/>
      <w:b w:val="0"/>
      <w:noProof w:val="0"/>
      <w:color w:val="2F5496" w:themeColor="accent1" w:themeShade="BF"/>
      <w:sz w:val="32"/>
      <w:szCs w:val="32"/>
    </w:rPr>
  </w:style>
  <w:style w:type="paragraph" w:styleId="TOC1">
    <w:name w:val="toc 1"/>
    <w:basedOn w:val="Normal"/>
    <w:next w:val="Normal"/>
    <w:autoRedefine/>
    <w:uiPriority w:val="39"/>
    <w:unhideWhenUsed/>
    <w:rsid w:val="00F150B4"/>
    <w:pPr>
      <w:spacing w:after="100"/>
    </w:pPr>
  </w:style>
  <w:style w:type="paragraph" w:styleId="TOC2">
    <w:name w:val="toc 2"/>
    <w:basedOn w:val="Normal"/>
    <w:next w:val="Normal"/>
    <w:autoRedefine/>
    <w:uiPriority w:val="39"/>
    <w:unhideWhenUsed/>
    <w:rsid w:val="001B7A89"/>
    <w:pPr>
      <w:tabs>
        <w:tab w:val="right" w:leader="dot" w:pos="9350"/>
      </w:tabs>
      <w:spacing w:after="0" w:line="480" w:lineRule="auto"/>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tiff"/><Relationship Id="rId18" Type="http://schemas.openxmlformats.org/officeDocument/2006/relationships/image" Target="media/image9.tif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tiff"/><Relationship Id="rId17" Type="http://schemas.openxmlformats.org/officeDocument/2006/relationships/image" Target="media/image8.tiff"/><Relationship Id="rId2" Type="http://schemas.openxmlformats.org/officeDocument/2006/relationships/numbering" Target="numbering.xml"/><Relationship Id="rId16" Type="http://schemas.openxmlformats.org/officeDocument/2006/relationships/image" Target="media/image7.tiff"/><Relationship Id="rId20" Type="http://schemas.openxmlformats.org/officeDocument/2006/relationships/image" Target="media/image11.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f"/><Relationship Id="rId5" Type="http://schemas.openxmlformats.org/officeDocument/2006/relationships/webSettings" Target="webSettings.xml"/><Relationship Id="rId15" Type="http://schemas.openxmlformats.org/officeDocument/2006/relationships/image" Target="media/image6.tiff"/><Relationship Id="rId10" Type="http://schemas.openxmlformats.org/officeDocument/2006/relationships/image" Target="media/image1.png"/><Relationship Id="rId19" Type="http://schemas.openxmlformats.org/officeDocument/2006/relationships/image" Target="media/image10.tif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tif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020D7-1ED7-4D14-AAB1-B8965CB1D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95</Pages>
  <Words>21574</Words>
  <Characters>122976</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Lyons Township High School</Company>
  <LinksUpToDate>false</LinksUpToDate>
  <CharactersWithSpaces>144262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Steve Song</cp:lastModifiedBy>
  <cp:revision>4</cp:revision>
  <cp:lastPrinted>2022-10-24T18:17:00Z</cp:lastPrinted>
  <dcterms:created xsi:type="dcterms:W3CDTF">2024-06-24T22:16:00Z</dcterms:created>
  <dcterms:modified xsi:type="dcterms:W3CDTF">2024-08-01T07:32:00Z</dcterms:modified>
</cp:coreProperties>
</file>