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1BEC" w14:textId="137A9178" w:rsidR="002D61B7" w:rsidRPr="00C650A0" w:rsidRDefault="00AB603B" w:rsidP="002D61B7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softHyphen/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softHyphen/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softHyphen/>
      </w:r>
    </w:p>
    <w:p w14:paraId="007CC90C" w14:textId="77777777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1130C5D4" w14:textId="77777777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0A9FD740" w14:textId="3FC5893E" w:rsidR="002D61B7" w:rsidRPr="00C650A0" w:rsidRDefault="002D61B7" w:rsidP="00C36CCC">
      <w:pPr>
        <w:pStyle w:val="Heading1"/>
        <w:rPr>
          <w:rFonts w:ascii="Arial" w:hAnsi="Arial" w:cs="Arial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t>Socioeconomic Status and Health Disparities in the United States</w:t>
      </w:r>
    </w:p>
    <w:p w14:paraId="182EF44E" w14:textId="77777777" w:rsidR="00561E4B" w:rsidRPr="00C650A0" w:rsidRDefault="00561E4B" w:rsidP="002D61B7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62844071" w14:textId="2CDC49DD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Katherine E. Stearley</w:t>
      </w:r>
    </w:p>
    <w:p w14:paraId="1A0A7D47" w14:textId="1B1C83FA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Department of Psychology, University of Rhode Island</w:t>
      </w:r>
    </w:p>
    <w:p w14:paraId="2FFFCE2F" w14:textId="5C0CBAFF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PSY 399: Multicultural Psychology</w:t>
      </w:r>
    </w:p>
    <w:p w14:paraId="6F6EB49B" w14:textId="26F61823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Dr. Paul Anderer</w:t>
      </w:r>
    </w:p>
    <w:p w14:paraId="4A08B8CD" w14:textId="2979C69F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March</w:t>
      </w:r>
      <w:r w:rsidR="00561E4B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30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 2021</w:t>
      </w:r>
    </w:p>
    <w:p w14:paraId="7B1AF9B2" w14:textId="77777777" w:rsidR="002D61B7" w:rsidRPr="00C650A0" w:rsidRDefault="002D61B7" w:rsidP="002D61B7">
      <w:pPr>
        <w:spacing w:line="480" w:lineRule="auto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14:paraId="0383E1BB" w14:textId="2A710375" w:rsidR="002D61B7" w:rsidRPr="00C650A0" w:rsidRDefault="002D61B7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6209C75" w14:textId="77777777" w:rsidR="002E57C7" w:rsidRPr="00C650A0" w:rsidRDefault="002E57C7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br w:type="page"/>
      </w:r>
    </w:p>
    <w:p w14:paraId="56D6F35C" w14:textId="4C9E75F9" w:rsidR="00C36CCC" w:rsidRPr="00C650A0" w:rsidRDefault="00C36CCC" w:rsidP="00C36CCC">
      <w:pPr>
        <w:pStyle w:val="Heading1"/>
        <w:rPr>
          <w:rFonts w:ascii="Arial" w:hAnsi="Arial" w:cs="Arial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lastRenderedPageBreak/>
        <w:t>Socioeconomic Status and Health Disparities in the United States</w:t>
      </w:r>
    </w:p>
    <w:p w14:paraId="58A65CCD" w14:textId="143A3A24" w:rsidR="002D61B7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Health disparities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are defined by the U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Department of Health and Human Services as the differences in health outcomes associated </w:t>
      </w:r>
      <w:r w:rsidR="00A2327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with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social, economic, and environmental disadvantage (Mio et al., 2020, p. 266).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ealth disparities often affect marginalized groups, or people who are disadvantaged because of their socioeconomic status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F708B" w:rsidRPr="00C650A0">
        <w:rPr>
          <w:rFonts w:ascii="Arial" w:eastAsia="Times New Roman" w:hAnsi="Arial" w:cs="Arial"/>
          <w:color w:val="000000"/>
          <w:sz w:val="22"/>
          <w:szCs w:val="22"/>
        </w:rPr>
        <w:t>(SES)</w:t>
      </w:r>
      <w:r w:rsidR="0086571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CF708B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>and do so in the form of food insecurity and food deserts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(Mio et al., 2020, p. 263). </w:t>
      </w:r>
    </w:p>
    <w:p w14:paraId="01430CA1" w14:textId="25106848" w:rsidR="002D61B7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Food insecurity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is defined by the U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Department of Agriculture as households that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are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unable to get access to adequate food for at least one member of the household because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of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insufficient resources (Coleman-Jensen et al., 2020).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According to a 2020 report, over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35 million Americans live in food</w:t>
      </w:r>
      <w:r w:rsidR="0047440F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insecure households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3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>5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% of people under the federal poverty line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are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food insecure compared </w:t>
      </w:r>
      <w:r w:rsidR="00917063" w:rsidRPr="00C650A0">
        <w:rPr>
          <w:rFonts w:ascii="Arial" w:eastAsia="Times New Roman" w:hAnsi="Arial" w:cs="Arial"/>
          <w:color w:val="000000"/>
          <w:sz w:val="22"/>
          <w:szCs w:val="22"/>
        </w:rPr>
        <w:t>with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5% of those above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the poverty line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(Coleman-Jensen et al., 2020).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This report demonstrates that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93F8C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impact</w:t>
      </w:r>
      <w:r w:rsidR="002E57C7"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the likelihood of </w:t>
      </w:r>
      <w:r w:rsidR="00DA6A5F" w:rsidRPr="00C650A0">
        <w:rPr>
          <w:rFonts w:ascii="Arial" w:eastAsia="Times New Roman" w:hAnsi="Arial" w:cs="Arial"/>
          <w:color w:val="000000"/>
          <w:sz w:val="22"/>
          <w:szCs w:val="22"/>
        </w:rPr>
        <w:t>a person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being classified as food insecure. </w:t>
      </w:r>
    </w:p>
    <w:p w14:paraId="04481C09" w14:textId="41746012" w:rsidR="002D61B7" w:rsidRPr="00C650A0" w:rsidRDefault="002D61B7" w:rsidP="003D01C2">
      <w:pPr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DA6A5F" w:rsidRPr="00C650A0">
        <w:rPr>
          <w:rFonts w:ascii="Arial" w:eastAsia="Times New Roman" w:hAnsi="Arial" w:cs="Arial"/>
          <w:color w:val="000000"/>
          <w:sz w:val="22"/>
          <w:szCs w:val="22"/>
        </w:rPr>
        <w:t>F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ood </w:t>
      </w:r>
      <w:r w:rsidR="00DA6A5F" w:rsidRPr="00C650A0">
        <w:rPr>
          <w:rFonts w:ascii="Arial" w:eastAsia="Times New Roman" w:hAnsi="Arial" w:cs="Arial"/>
          <w:color w:val="000000"/>
          <w:sz w:val="22"/>
          <w:szCs w:val="22"/>
        </w:rPr>
        <w:t>insecurity can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lead to disparities in health, especially in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food deserts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which are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low-income areas where residents have limited access to healthy foods (Liese et al., 2017). A study by Testa et al. (2020) analyzed how food deserts impact the cardiovascular health of young adults and found a statistically significant positive association between residen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ce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 a food desert and cardiovascular health risk. Poor cardiovascular health can lead to a multitude of health problems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including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heart attack, heart failure, and stroke (Testa et al., 2020). The association between food deserts and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poor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cardiovascular health was found to be partially </w:t>
      </w:r>
      <w:r w:rsidR="00D41A5C" w:rsidRPr="00C650A0">
        <w:rPr>
          <w:rFonts w:ascii="Arial" w:eastAsia="Times New Roman" w:hAnsi="Arial" w:cs="Arial"/>
          <w:color w:val="000000"/>
          <w:sz w:val="22"/>
          <w:szCs w:val="22"/>
        </w:rPr>
        <w:t>mediated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by area and personal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="008A61B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—factors that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had been rendered null in previous studies (Testa et al., 2020). These findings support the claim that lower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SES is related to a greater risk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of cardiovascular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problems. </w:t>
      </w:r>
    </w:p>
    <w:p w14:paraId="5D684ACD" w14:textId="1B2EDBE3" w:rsidR="002D61B7" w:rsidRPr="00C650A0" w:rsidRDefault="002D61B7" w:rsidP="008A61BD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Cardiovascular health is not the only health area affected by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SES;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body mass index (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BMI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obesity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risk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are </w:t>
      </w:r>
      <w:r w:rsidR="008A61BD" w:rsidRPr="00C650A0">
        <w:rPr>
          <w:rFonts w:ascii="Arial" w:eastAsia="Times New Roman" w:hAnsi="Arial" w:cs="Arial"/>
          <w:color w:val="000000"/>
          <w:sz w:val="22"/>
          <w:szCs w:val="22"/>
        </w:rPr>
        <w:t>impacted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as well. A study by Dubowitz et al. (2012) </w:t>
      </w:r>
      <w:r w:rsidR="004D4BD2" w:rsidRPr="00C650A0">
        <w:rPr>
          <w:rFonts w:ascii="Arial" w:eastAsia="Times New Roman" w:hAnsi="Arial" w:cs="Arial"/>
          <w:color w:val="000000"/>
          <w:sz w:val="22"/>
          <w:szCs w:val="22"/>
        </w:rPr>
        <w:t>on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food environment, neighborhood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BMI, and blood pressure in women found that as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neighborhood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SES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increased from the 10th to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90th percentile, BMI decreased from 29.86 to 28.60. This may not seem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like a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significant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amount of change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 but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as the authors point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ed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out,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on a 5</w:t>
      </w:r>
      <w:r w:rsidR="00980DDA" w:rsidRPr="00C650A0">
        <w:rPr>
          <w:rFonts w:ascii="Arial" w:eastAsia="Times New Roman" w:hAnsi="Arial" w:cs="Arial"/>
          <w:color w:val="000000"/>
          <w:sz w:val="22"/>
          <w:szCs w:val="22"/>
        </w:rPr>
        <w:t>.5</w:t>
      </w:r>
      <w:r w:rsidR="0030468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0DD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ft (167.64 cm)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woman who weighs 177 pounds, this is a difference of 7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8 pounds (Dubowitz et al., 2012). That change in weight can be the difference between being classified as healthy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versus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overweight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. The study also found a positive association between fast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food availability and BMI. This study illustrates not only th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at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SES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affects the BMI and subsequent health status of women but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that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the types of food available affect food choice and BMI. </w:t>
      </w:r>
    </w:p>
    <w:p w14:paraId="050A9564" w14:textId="25F2ECAD" w:rsidR="002D61B7" w:rsidRPr="00C650A0" w:rsidRDefault="002D61B7" w:rsidP="003D01C2">
      <w:pPr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This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topic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was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further researched by Cantor et al. (2020)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who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examined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the Supplemental Nutrition Assistance Program (SNAP)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the largest federal domestic food and nutrition assistance program in the U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nited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tates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SNAP, which many </w:t>
      </w:r>
      <w:r w:rsidR="000C4FF4" w:rsidRPr="00C650A0">
        <w:rPr>
          <w:rFonts w:ascii="Arial" w:eastAsia="Times New Roman" w:hAnsi="Arial" w:cs="Arial"/>
          <w:color w:val="000000"/>
          <w:sz w:val="22"/>
          <w:szCs w:val="22"/>
        </w:rPr>
        <w:t>associate with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food stamps, is not accepted everywher</w:t>
      </w:r>
      <w:r w:rsidR="001B1456" w:rsidRPr="00C650A0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smaller retailers that accept SNAP benefits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have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often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been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found to stock fewer healthy items (Cantor et al., 2020).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Cantor et al.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were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 the unique position of being able to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compare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how food security and </w:t>
      </w:r>
      <w:r w:rsidR="0005475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quality of food intake changed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between two groups of residents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living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in food deserts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. Once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grocery store was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introduced </w:t>
      </w:r>
      <w:r w:rsidR="00B84599" w:rsidRPr="00C650A0">
        <w:rPr>
          <w:rFonts w:ascii="Arial" w:eastAsia="Times New Roman" w:hAnsi="Arial" w:cs="Arial"/>
          <w:color w:val="000000"/>
          <w:sz w:val="22"/>
          <w:szCs w:val="22"/>
        </w:rPr>
        <w:t>to the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neighborhood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B84599" w:rsidRPr="00C650A0">
        <w:rPr>
          <w:rFonts w:ascii="Arial" w:eastAsia="Times New Roman" w:hAnsi="Arial" w:cs="Arial"/>
          <w:color w:val="000000"/>
          <w:sz w:val="22"/>
          <w:szCs w:val="22"/>
        </w:rPr>
        <w:t>of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one of the groups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food security for those residents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significant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ly improved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(Cantor et al., 2020). There was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also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an improvement in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ir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nutritional intake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specifically,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 4.25% decrease in calories from solid fats, alcohol, and added sugars in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their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diets. </w:t>
      </w:r>
    </w:p>
    <w:p w14:paraId="0211DBAC" w14:textId="140C66D8" w:rsidR="002D61B7" w:rsidRPr="00C650A0" w:rsidRDefault="002D61B7" w:rsidP="003D01C2">
      <w:pPr>
        <w:spacing w:line="480" w:lineRule="auto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Although the Cantor et al.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(2020)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study and others show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n association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between grocery store access and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improved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BMI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cardiovascular health, the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2700DE" w:rsidRPr="00C650A0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re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presence of grocery stores is not always enough to improve health, especially in low </w:t>
      </w:r>
      <w:r w:rsidR="00AB14F2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communities (Liese et al., 2017). 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>In a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study on food acquisition in relation to BMI among low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-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income residents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Liese et al. (2017) found that the more a person considered lack of access to healthy food </w:t>
      </w:r>
      <w:r w:rsidR="000663C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to be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a problem, the higher their BMI</w:t>
      </w:r>
      <w:r w:rsidR="00560FE4">
        <w:rPr>
          <w:rFonts w:ascii="Arial" w:eastAsia="Times New Roman" w:hAnsi="Arial" w:cs="Arial"/>
          <w:color w:val="000000"/>
          <w:sz w:val="22"/>
          <w:szCs w:val="22"/>
        </w:rPr>
        <w:t>—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>an association that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was independent of food shopping behaviors and food environment characteristics.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Allostatic stress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or the impact 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of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chronic stress on the body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as well as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attitudinal problems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can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contribute to higher BMI and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worse cardiovascular health (Mio et al., 2020, p. 278). There are two possible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reasons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for this: the health belief model and contemplative practices. </w:t>
      </w:r>
    </w:p>
    <w:p w14:paraId="32C23E50" w14:textId="7AD71FD1" w:rsidR="002E124A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The health belief model centers on the claim that people’s perceptions of the health threats they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re facing impact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their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behavior and 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>the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effective</w:t>
      </w:r>
      <w:r w:rsidR="00907332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ness of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health practices at reducing health problem</w:t>
      </w:r>
      <w:r w:rsidR="005C4940" w:rsidRPr="00C650A0"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(Mio et al., 2020). 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>Greater 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esearch</w:t>
      </w:r>
      <w:r w:rsidR="002E124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into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this model may help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with the development of strategies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reduc</w:t>
      </w:r>
      <w:r w:rsidR="00320CB9" w:rsidRPr="00C650A0">
        <w:rPr>
          <w:rFonts w:ascii="Arial" w:eastAsia="Times New Roman" w:hAnsi="Arial" w:cs="Arial"/>
          <w:color w:val="000000"/>
          <w:sz w:val="22"/>
          <w:szCs w:val="22"/>
        </w:rPr>
        <w:t>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stress and negative thoughts about food acquisition. </w:t>
      </w:r>
    </w:p>
    <w:p w14:paraId="0D9E6698" w14:textId="028CE38E" w:rsidR="00ED7A2A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Contemplative practices are another possible solution. All participants in the studies </w:t>
      </w:r>
      <w:r w:rsidR="00320CB9" w:rsidRPr="00C650A0">
        <w:rPr>
          <w:rFonts w:ascii="Arial" w:eastAsia="Times New Roman" w:hAnsi="Arial" w:cs="Arial"/>
          <w:color w:val="000000"/>
          <w:sz w:val="22"/>
          <w:szCs w:val="22"/>
        </w:rPr>
        <w:t>cited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 this paper were adults, </w:t>
      </w:r>
      <w:r w:rsidR="00AB603B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who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may have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had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more difficulty learning new ways of thinking about the world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compared </w:t>
      </w:r>
      <w:r w:rsidR="003564EE" w:rsidRPr="00C650A0">
        <w:rPr>
          <w:rFonts w:ascii="Arial" w:eastAsia="Times New Roman" w:hAnsi="Arial" w:cs="Arial"/>
          <w:color w:val="000000"/>
          <w:sz w:val="22"/>
          <w:szCs w:val="22"/>
        </w:rPr>
        <w:t>with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adolescents and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children. One way</w:t>
      </w:r>
      <w:r w:rsidR="00320CB9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to change patterns of thinking is to introduce the concept of transformative learning.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Transformative learning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30118" w:rsidRPr="00C650A0">
        <w:rPr>
          <w:rFonts w:ascii="Arial" w:eastAsia="Times New Roman" w:hAnsi="Arial" w:cs="Arial"/>
          <w:color w:val="000000"/>
          <w:sz w:val="22"/>
          <w:szCs w:val="22"/>
        </w:rPr>
        <w:t>involves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learning new ways of seeing the world and unlearning previously held ideas (Le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2020).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Transformative learning can </w:t>
      </w:r>
      <w:r w:rsidR="00257B10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occur 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many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ways, but </w:t>
      </w:r>
      <w:r w:rsidR="000D0D0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individuals’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self-awareness and attentional focus on what is happening in the present moment</w:t>
      </w:r>
      <w:r w:rsidR="000D0D0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are the most important factors needed for it to occur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>. 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ogether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>, these two factors can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create the “optimal state of awareness for learning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="00ED7A2A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action and learning from experience” (Le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2020</w:t>
      </w:r>
      <w:r w:rsidR="00DB5E13">
        <w:rPr>
          <w:rFonts w:ascii="Arial" w:eastAsia="Times New Roman" w:hAnsi="Arial" w:cs="Arial"/>
          <w:color w:val="000000"/>
          <w:sz w:val="22"/>
          <w:szCs w:val="22"/>
        </w:rPr>
        <w:t>, p. 811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). </w:t>
      </w:r>
    </w:p>
    <w:p w14:paraId="02250DC2" w14:textId="18E08544" w:rsidR="002D61B7" w:rsidRPr="00C650A0" w:rsidRDefault="002D61B7" w:rsidP="003D01C2">
      <w:pPr>
        <w:spacing w:line="480" w:lineRule="auto"/>
        <w:ind w:firstLine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Relearning thinking patterns may be difficult, but it is a possible solution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to the problem of high BMI and cardiovascular health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>risk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This goes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>together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with meditation as well. Meditation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is shown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reduce cardiovascular risk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and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blood pressure and to prevent a second heart attack or stroke (Le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et al., 2020).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As studies have demonstrated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cardiovascular risk is a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major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problem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Because meditation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can be done for free anywhere,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it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is an affordable </w:t>
      </w:r>
      <w:r w:rsidR="00BF0ED4" w:rsidRPr="00C650A0">
        <w:rPr>
          <w:rFonts w:ascii="Arial" w:eastAsia="Times New Roman" w:hAnsi="Arial" w:cs="Arial"/>
          <w:color w:val="000000"/>
          <w:sz w:val="22"/>
          <w:szCs w:val="22"/>
        </w:rPr>
        <w:t>way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to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potentially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reduc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e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the risk of cardiovascular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problems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for people who continue to lack wide access to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food.</w:t>
      </w:r>
    </w:p>
    <w:p w14:paraId="6E0B6B8A" w14:textId="15C2E71A" w:rsidR="00B61B31" w:rsidRPr="00C650A0" w:rsidRDefault="002D61B7" w:rsidP="00C650A0">
      <w:pPr>
        <w:spacing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ab/>
        <w:t xml:space="preserve">Although there are obvious disparities in health based on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SES</w:t>
      </w:r>
      <w:r w:rsidR="00626B0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in the United States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 simple solutions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such as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C4940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behaviors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focused on the health belief model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and contemplative practices </w:t>
      </w:r>
      <w:r w:rsidR="000D4F7D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may help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reduce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such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health risks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as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high BMI and cardiovascular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problems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until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C36CCC" w:rsidRPr="00C650A0">
        <w:rPr>
          <w:rFonts w:ascii="Arial" w:eastAsia="Times New Roman" w:hAnsi="Arial" w:cs="Arial"/>
          <w:color w:val="000000"/>
          <w:sz w:val="22"/>
          <w:szCs w:val="22"/>
        </w:rPr>
        <w:t>larger societal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changes </w:t>
      </w:r>
      <w:r w:rsidR="00DB6CEF" w:rsidRPr="00C650A0">
        <w:rPr>
          <w:rFonts w:ascii="Arial" w:eastAsia="Times New Roman" w:hAnsi="Arial" w:cs="Arial"/>
          <w:color w:val="000000"/>
          <w:sz w:val="22"/>
          <w:szCs w:val="22"/>
        </w:rPr>
        <w:t>can be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made. </w:t>
      </w:r>
      <w:r w:rsidR="00B61B31" w:rsidRPr="00C650A0">
        <w:rPr>
          <w:rFonts w:ascii="Arial" w:eastAsia="Times New Roman" w:hAnsi="Arial" w:cs="Arial"/>
          <w:color w:val="000000"/>
          <w:sz w:val="22"/>
          <w:szCs w:val="22"/>
        </w:rPr>
        <w:br w:type="page"/>
      </w:r>
    </w:p>
    <w:p w14:paraId="112EEFAD" w14:textId="5ACFB97A" w:rsidR="002D61B7" w:rsidRPr="00C650A0" w:rsidRDefault="002D61B7" w:rsidP="00C36CCC">
      <w:pPr>
        <w:pStyle w:val="Heading1"/>
        <w:rPr>
          <w:rFonts w:ascii="Arial" w:hAnsi="Arial" w:cs="Arial"/>
          <w:sz w:val="22"/>
          <w:szCs w:val="22"/>
        </w:rPr>
      </w:pPr>
      <w:r w:rsidRPr="00C650A0">
        <w:rPr>
          <w:rFonts w:ascii="Arial" w:hAnsi="Arial" w:cs="Arial"/>
          <w:sz w:val="22"/>
          <w:szCs w:val="22"/>
        </w:rPr>
        <w:lastRenderedPageBreak/>
        <w:t>References</w:t>
      </w:r>
    </w:p>
    <w:p w14:paraId="50AD7D10" w14:textId="00E74DD0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Cantor, J., Beckman, R., Collins, R. L., Ghosh-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Dastidar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M., Richardson, A. S., &amp; Dubowitz, T. (2020). SNAP participants improved food security and diet after a full-service supermarket opened in an urban food desert.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Health Affairs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39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(8), 1386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1394.</w:t>
      </w:r>
      <w:r w:rsidR="009647A9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9" w:history="1">
        <w:r w:rsidR="009647A9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https://doi.org/10.1377/hlthaff.2019.01309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AA3B803" w14:textId="7CF5116E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Coleman-Jensen, A., Rabbitt, M. P., Gregory, C. A., &amp; Singh, A. (2020).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Household food security in the United States in 2019</w:t>
      </w:r>
      <w:r w:rsidR="00917063"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E57C7" w:rsidRPr="00C650A0">
        <w:rPr>
          <w:rFonts w:ascii="Arial" w:eastAsia="Times New Roman" w:hAnsi="Arial" w:cs="Arial"/>
          <w:color w:val="000000"/>
          <w:sz w:val="22"/>
          <w:szCs w:val="22"/>
        </w:rPr>
        <w:t>(</w:t>
      </w:r>
      <w:r w:rsidR="00917063" w:rsidRPr="00C650A0">
        <w:rPr>
          <w:rFonts w:ascii="Arial" w:eastAsia="Times New Roman" w:hAnsi="Arial" w:cs="Arial"/>
          <w:color w:val="000000"/>
          <w:sz w:val="22"/>
          <w:szCs w:val="22"/>
        </w:rPr>
        <w:t>Economic Research Report No. 275</w:t>
      </w:r>
      <w:r w:rsidR="002E57C7" w:rsidRPr="00C650A0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. United States Department of Agriculture. </w:t>
      </w:r>
      <w:hyperlink r:id="rId10" w:history="1">
        <w:r w:rsidRPr="00C650A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https://www.ers.usda.gov/webdocs/publications/99282/err-275.pdf?v=744.4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65D725D3" w14:textId="60AA94B5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>Dubowitz, T., Ghosh-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Dastidar</w:t>
      </w:r>
      <w:proofErr w:type="spellEnd"/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M., Eibner, C., Slaughter, M. E., Fernandes, M., Whitsel, E. A., Bird, C. E., Jewell, A., Margolis, K. L., Li, W., Michael, Y. L., Shih, R. A., Manson, J. E., &amp; Escarce, J. J. (2012). The women’s health initiative: The food environment, neighborhood socioeconomic status, BMI, and blood pressure.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Obesity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20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(4), 862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871.</w:t>
      </w:r>
      <w:hyperlink r:id="rId11" w:history="1">
        <w:r w:rsidR="009647A9" w:rsidRPr="00C650A0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9647A9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https://doi.org/10.1038/oby.2011.141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9D30E96" w14:textId="0B17C564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Le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Pertel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, N., Fisher, J., &amp; van Dam, N. (2020). Neuroscience of embodied reflection: Somatic/mindbody/contemplative practices, health, and transformative learning.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Reflective Practice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21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(6), 803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818.</w:t>
      </w:r>
      <w:hyperlink r:id="rId12" w:history="1">
        <w:r w:rsidR="00712EE0" w:rsidRPr="00C650A0">
          <w:rPr>
            <w:rFonts w:ascii="Arial" w:hAnsi="Arial" w:cs="Arial"/>
            <w:sz w:val="22"/>
            <w:szCs w:val="22"/>
          </w:rPr>
          <w:t xml:space="preserve"> </w:t>
        </w:r>
        <w:r w:rsidR="00712EE0" w:rsidRPr="00C650A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https://doi.org/</w:t>
        </w:r>
        <w:r w:rsidRPr="00C650A0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10.1080/14623943.2020.1827492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0E3386F" w14:textId="19F2FEF3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Liese, A. D., </w:t>
      </w:r>
      <w:proofErr w:type="spellStart"/>
      <w:r w:rsidRPr="00C650A0">
        <w:rPr>
          <w:rFonts w:ascii="Arial" w:eastAsia="Times New Roman" w:hAnsi="Arial" w:cs="Arial"/>
          <w:color w:val="000000"/>
          <w:sz w:val="22"/>
          <w:szCs w:val="22"/>
        </w:rPr>
        <w:t>Xiaonan</w:t>
      </w:r>
      <w:proofErr w:type="spellEnd"/>
      <w:r w:rsidRPr="00C650A0">
        <w:rPr>
          <w:rFonts w:ascii="Arial" w:eastAsia="Times New Roman" w:hAnsi="Arial" w:cs="Arial"/>
          <w:color w:val="000000"/>
          <w:sz w:val="22"/>
          <w:szCs w:val="22"/>
        </w:rPr>
        <w:t>, M., Hutto</w:t>
      </w:r>
      <w:r w:rsidR="00985B86"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 B., Sharpe, P. A., Bell, B. A., &amp; Wilcox, S. (2017). Food shopping and acquisition behaviors in relation to BMI among residents of low-income communities in South Carolina.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International Journal of Environmental Research and Public Health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14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(9), 1075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1090. </w:t>
      </w:r>
      <w:hyperlink r:id="rId13" w:history="1">
        <w:r w:rsidR="00712EE0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https://doi.org/10.3390/ijerph14091075</w:t>
        </w:r>
      </w:hyperlink>
      <w:r w:rsidRPr="00C650A0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27F8A6AF" w14:textId="56F84314" w:rsidR="002D61B7" w:rsidRPr="00C650A0" w:rsidRDefault="002D61B7" w:rsidP="003D01C2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Mio, J. S., Barker, L. A., Domenech Rodriguez, M. M., &amp; Gonzalez, J. (2020).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Multicultural psychology: Understanding our diverse communities 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(5th ed.). Oxford University Press. </w:t>
      </w:r>
    </w:p>
    <w:p w14:paraId="102E726A" w14:textId="77DB704C" w:rsidR="00000000" w:rsidRPr="00C650A0" w:rsidRDefault="002D61B7" w:rsidP="00235E18">
      <w:pPr>
        <w:spacing w:line="480" w:lineRule="auto"/>
        <w:ind w:left="720" w:hanging="720"/>
        <w:rPr>
          <w:rFonts w:ascii="Arial" w:eastAsia="Times New Roman" w:hAnsi="Arial" w:cs="Arial"/>
          <w:sz w:val="22"/>
          <w:szCs w:val="22"/>
        </w:rPr>
      </w:pP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Testa, A., Jackson, D. B., Semenza, D. C., &amp; Vaughn, M. G. (2020). Food deserts and cardiovascular health among young adults. 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>Public Health Nutrition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C650A0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24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>(1), 117</w:t>
      </w:r>
      <w:r w:rsidR="003D01C2" w:rsidRPr="00C650A0">
        <w:rPr>
          <w:rFonts w:ascii="Arial" w:eastAsia="Times New Roman" w:hAnsi="Arial" w:cs="Arial"/>
          <w:color w:val="000000"/>
          <w:sz w:val="22"/>
          <w:szCs w:val="22"/>
        </w:rPr>
        <w:t>–</w:t>
      </w:r>
      <w:r w:rsidRPr="00C650A0">
        <w:rPr>
          <w:rFonts w:ascii="Arial" w:eastAsia="Times New Roman" w:hAnsi="Arial" w:cs="Arial"/>
          <w:color w:val="000000"/>
          <w:sz w:val="22"/>
          <w:szCs w:val="22"/>
        </w:rPr>
        <w:t xml:space="preserve">124. </w:t>
      </w:r>
      <w:hyperlink r:id="rId14" w:history="1">
        <w:r w:rsidR="00712EE0" w:rsidRPr="00C650A0">
          <w:rPr>
            <w:rStyle w:val="Hyperlink"/>
            <w:rFonts w:ascii="Arial" w:eastAsia="Times New Roman" w:hAnsi="Arial" w:cs="Arial"/>
            <w:sz w:val="22"/>
            <w:szCs w:val="22"/>
          </w:rPr>
          <w:t>https://doi.org/10.1017/S1368980020001536</w:t>
        </w:r>
      </w:hyperlink>
    </w:p>
    <w:sectPr w:rsidR="00823A76" w:rsidRPr="00C650A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218FE" w14:textId="77777777" w:rsidR="002E1C91" w:rsidRDefault="002E1C91" w:rsidP="003D01C2">
      <w:r>
        <w:separator/>
      </w:r>
    </w:p>
  </w:endnote>
  <w:endnote w:type="continuationSeparator" w:id="0">
    <w:p w14:paraId="41DED2C1" w14:textId="77777777" w:rsidR="002E1C91" w:rsidRDefault="002E1C91" w:rsidP="003D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59BDF" w14:textId="77777777" w:rsidR="002E1C91" w:rsidRDefault="002E1C91" w:rsidP="003D01C2">
      <w:r>
        <w:separator/>
      </w:r>
    </w:p>
  </w:footnote>
  <w:footnote w:type="continuationSeparator" w:id="0">
    <w:p w14:paraId="785D4644" w14:textId="77777777" w:rsidR="002E1C91" w:rsidRDefault="002E1C91" w:rsidP="003D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4656415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3EEA78F5" w14:textId="614FCBDA" w:rsidR="003D01C2" w:rsidRDefault="003D01C2">
        <w:pPr>
          <w:pStyle w:val="Header"/>
          <w:jc w:val="right"/>
        </w:pPr>
        <w:r w:rsidRPr="003E6380">
          <w:rPr>
            <w:rFonts w:ascii="Arial" w:hAnsi="Arial" w:cs="Arial"/>
            <w:sz w:val="22"/>
            <w:szCs w:val="22"/>
          </w:rPr>
          <w:fldChar w:fldCharType="begin"/>
        </w:r>
        <w:r w:rsidRPr="003E638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3E6380">
          <w:rPr>
            <w:rFonts w:ascii="Arial" w:hAnsi="Arial" w:cs="Arial"/>
            <w:sz w:val="22"/>
            <w:szCs w:val="22"/>
          </w:rPr>
          <w:fldChar w:fldCharType="separate"/>
        </w:r>
        <w:r w:rsidRPr="003E6380">
          <w:rPr>
            <w:rFonts w:ascii="Arial" w:hAnsi="Arial" w:cs="Arial"/>
            <w:noProof/>
            <w:sz w:val="22"/>
            <w:szCs w:val="22"/>
          </w:rPr>
          <w:t>2</w:t>
        </w:r>
        <w:r w:rsidRPr="003E6380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5183176" w14:textId="77777777" w:rsidR="003D01C2" w:rsidRDefault="003D0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7"/>
    <w:rsid w:val="0005475C"/>
    <w:rsid w:val="000663C6"/>
    <w:rsid w:val="000C4FF4"/>
    <w:rsid w:val="000D0D0F"/>
    <w:rsid w:val="000D4F7D"/>
    <w:rsid w:val="0018183E"/>
    <w:rsid w:val="00193F8C"/>
    <w:rsid w:val="001B1456"/>
    <w:rsid w:val="001B3054"/>
    <w:rsid w:val="001D68BB"/>
    <w:rsid w:val="001E6458"/>
    <w:rsid w:val="00235E18"/>
    <w:rsid w:val="002516FA"/>
    <w:rsid w:val="00254E41"/>
    <w:rsid w:val="00257B10"/>
    <w:rsid w:val="002674EE"/>
    <w:rsid w:val="002700DE"/>
    <w:rsid w:val="002719A2"/>
    <w:rsid w:val="002C05AA"/>
    <w:rsid w:val="002D5826"/>
    <w:rsid w:val="002D61B7"/>
    <w:rsid w:val="002E124A"/>
    <w:rsid w:val="002E1C91"/>
    <w:rsid w:val="002E57C7"/>
    <w:rsid w:val="0030468A"/>
    <w:rsid w:val="00320CB9"/>
    <w:rsid w:val="003564EE"/>
    <w:rsid w:val="00371612"/>
    <w:rsid w:val="003D01C2"/>
    <w:rsid w:val="003E6380"/>
    <w:rsid w:val="00473ECD"/>
    <w:rsid w:val="0047440F"/>
    <w:rsid w:val="004D4BD2"/>
    <w:rsid w:val="0052795B"/>
    <w:rsid w:val="00560FE4"/>
    <w:rsid w:val="00561E4B"/>
    <w:rsid w:val="005C4940"/>
    <w:rsid w:val="00626B0C"/>
    <w:rsid w:val="006577C9"/>
    <w:rsid w:val="00712EE0"/>
    <w:rsid w:val="007A5E35"/>
    <w:rsid w:val="00830118"/>
    <w:rsid w:val="00865710"/>
    <w:rsid w:val="008A61BD"/>
    <w:rsid w:val="00907332"/>
    <w:rsid w:val="00917063"/>
    <w:rsid w:val="009647A9"/>
    <w:rsid w:val="00980DDA"/>
    <w:rsid w:val="00985B86"/>
    <w:rsid w:val="00A12DA6"/>
    <w:rsid w:val="00A23272"/>
    <w:rsid w:val="00A64045"/>
    <w:rsid w:val="00A905F9"/>
    <w:rsid w:val="00AB14F2"/>
    <w:rsid w:val="00AB603B"/>
    <w:rsid w:val="00B11CDF"/>
    <w:rsid w:val="00B23129"/>
    <w:rsid w:val="00B31725"/>
    <w:rsid w:val="00B61B31"/>
    <w:rsid w:val="00B84599"/>
    <w:rsid w:val="00BF0ED4"/>
    <w:rsid w:val="00C24FDE"/>
    <w:rsid w:val="00C34D74"/>
    <w:rsid w:val="00C36CCC"/>
    <w:rsid w:val="00C452E7"/>
    <w:rsid w:val="00C650A0"/>
    <w:rsid w:val="00CF708B"/>
    <w:rsid w:val="00D41A5C"/>
    <w:rsid w:val="00D62DD2"/>
    <w:rsid w:val="00D8710C"/>
    <w:rsid w:val="00DA6A5F"/>
    <w:rsid w:val="00DB5E13"/>
    <w:rsid w:val="00DB6CEF"/>
    <w:rsid w:val="00EB713E"/>
    <w:rsid w:val="00EC4CC8"/>
    <w:rsid w:val="00ED7A2A"/>
    <w:rsid w:val="00F0633E"/>
    <w:rsid w:val="00F9530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65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CC"/>
    <w:pPr>
      <w:spacing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D61B7"/>
  </w:style>
  <w:style w:type="character" w:styleId="Hyperlink">
    <w:name w:val="Hyperlink"/>
    <w:basedOn w:val="DefaultParagraphFont"/>
    <w:uiPriority w:val="99"/>
    <w:unhideWhenUsed/>
    <w:rsid w:val="002D61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1C2"/>
  </w:style>
  <w:style w:type="paragraph" w:styleId="Footer">
    <w:name w:val="footer"/>
    <w:basedOn w:val="Normal"/>
    <w:link w:val="FooterChar"/>
    <w:uiPriority w:val="99"/>
    <w:unhideWhenUsed/>
    <w:rsid w:val="003D0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1C2"/>
  </w:style>
  <w:style w:type="character" w:styleId="UnresolvedMention">
    <w:name w:val="Unresolved Mention"/>
    <w:basedOn w:val="DefaultParagraphFont"/>
    <w:uiPriority w:val="99"/>
    <w:semiHidden/>
    <w:unhideWhenUsed/>
    <w:rsid w:val="00712E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0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CB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6CCC"/>
    <w:rPr>
      <w:rFonts w:ascii="Times New Roman" w:eastAsia="Times New Roman" w:hAnsi="Times New Roman" w:cs="Times New Roman"/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170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390/ijerph14091075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i.org/10.1080/14623943.2020.182749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s://doi.org/10.1038/oby.2011.14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rs.usda.gov/webdocs/publications/99282/err-275.pdf?v=744.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377/hlthaff.2019.01309" TargetMode="External"/><Relationship Id="rId14" Type="http://schemas.openxmlformats.org/officeDocument/2006/relationships/hyperlink" Target="https://doi.org/10.1017/S1368980020001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1AF64BD63B045AA9A0B697611A7E7" ma:contentTypeVersion="13" ma:contentTypeDescription="Create a new document." ma:contentTypeScope="" ma:versionID="577ae9de38a1d59c55daa3d70aed3812">
  <xsd:schema xmlns:xsd="http://www.w3.org/2001/XMLSchema" xmlns:xs="http://www.w3.org/2001/XMLSchema" xmlns:p="http://schemas.microsoft.com/office/2006/metadata/properties" xmlns:ns3="ba88afe1-d897-4f80-aa04-046d4eb4df8e" xmlns:ns4="e73950f9-89bf-4d2d-90c7-1a0e5b17f7f2" targetNamespace="http://schemas.microsoft.com/office/2006/metadata/properties" ma:root="true" ma:fieldsID="69f23878f092fa9ff37c29167fede9d2" ns3:_="" ns4:_="">
    <xsd:import namespace="ba88afe1-d897-4f80-aa04-046d4eb4df8e"/>
    <xsd:import namespace="e73950f9-89bf-4d2d-90c7-1a0e5b17f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afe1-d897-4f80-aa04-046d4eb4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50f9-89bf-4d2d-90c7-1a0e5b17f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E1F74-F279-44E7-9841-A6912091F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8afe1-d897-4f80-aa04-046d4eb4df8e"/>
    <ds:schemaRef ds:uri="e73950f9-89bf-4d2d-90c7-1a0e5b17f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50721-769D-4B7E-A136-EE9D1113E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6BEFE-A599-40F5-AD54-93AB8D813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2024-10-22T20:46:00Z</dcterms:created>
  <dcterms:modified xsi:type="dcterms:W3CDTF">2024-10-22T20:46:00Z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0x010100B421AF64BD63B045AA9A0B697611A7E7</vt:lpwstr>
  </property>
</Properties>
</file>