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chances of efficiency as the travel cost excesses has been used to develop other segment of the company. Most companies have their virtual meetings monthly while they plan to have a physical gathering just once in a year. The use of the internet has made it possible for managers to be able to communicate with their teams or superiors without having to incur additional cost.</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Formally, people could not transact or buy from anyone that they haven’t seen physically or know a particular place where such transactions can be held but the presence of the internet solved such issue and people can now buy or sell to others without having to meet with them physically. Some of those easy platforms are Jumia, Ali Baba express, FXTM, Octamarkets, e.t.c. It’s also possible to have registered agents who can assist individuals in engaging in such market. A managerial economist can use this as an advantage to set up his firm for investment by the public.</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The internet has helped also in advertising products and reaching out to the larger audience, it has gone beyond fliers and samples to social media platforms such as Twitter, Facebook, WhatsApp, Instagram, e,t,c,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The internet also helps in comparison of prices of different products before make a decision of getting anyone, through the different social platform available for transactions or sales or products, prices can easily be compared.</w:t>
      </w:r>
    </w:p>
    <w:p>
      <w:pPr>
        <w:pStyle w:val="ListParagraph"/>
        <w:numPr>
          <w:ilvl w:val="0"/>
          <w:numId w:val="1"/>
        </w:numPr>
        <w:spacing w:beforeAutospacing="1" w:afterAutospacing="1"/>
        <w:outlineLvl w:val="3"/>
        <w:rPr>
          <w:rFonts w:ascii="Times New Roman" w:hAnsi="Times New Roman" w:cs="Times New Roman"/>
          <w:sz w:val="24"/>
          <w:szCs w:val="24"/>
        </w:rPr>
      </w:pPr>
      <w:r>
        <w:rPr>
          <w:rFonts w:eastAsia="Times New Roman" w:cs="Times New Roman" w:ascii="Times New Roman" w:hAnsi="Times New Roman"/>
          <w:b/>
          <w:bCs/>
          <w:color w:val="000000"/>
          <w:kern w:val="0"/>
          <w:sz w:val="24"/>
          <w:szCs w:val="24"/>
          <w14:ligatures w14:val="none"/>
        </w:rPr>
        <w:t>The use of internet has also helped firms to be able to restructure or develop. The presence of the internet has made the industries quite competitive, therefore for anyone to be able to stand out in all aspect they have to be on their toes to keep up with the advancement in technology so they can stay in business. And this has called for restructuring and development such as the use of systems in offices, conducting interviews on the internet, offering remote jobs, using phones that can track the location or time of their staffs. All of these actions is to create more efficient environment for the business to strive.</w:t>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
    </w:p>
    <w:p>
      <w:pPr>
        <w:pStyle w:val="Normal"/>
        <w:numPr>
          <w:ilvl w:val="0"/>
          <w:numId w:val="0"/>
        </w:numPr>
        <w:spacing w:beforeAutospacing="1" w:afterAutospacing="1"/>
        <w:outlineLvl w:val="3"/>
        <w:rPr>
          <w:rFonts w:ascii="Times New Roman" w:hAnsi="Times New Roman" w:eastAsia="Times New Roman" w:cs="Times New Roman"/>
          <w:b/>
          <w:b/>
          <w:bCs/>
          <w:color w:val="000000"/>
          <w:kern w:val="0"/>
          <w14:ligatures w14:val="none"/>
        </w:rPr>
      </w:pPr>
      <w:r>
        <w:rPr>
          <w:rFonts w:eastAsia="Times New Roman" w:cs="Times New Roman" w:ascii="Times New Roman" w:hAnsi="Times New Roman"/>
          <w:b/>
          <w:bCs/>
          <w:color w:val="000000"/>
          <w:kern w:val="0"/>
          <w14:ligatures w14:val="none"/>
        </w:rPr>
        <w:t>Bill of Quantities (BoQ)</w:t>
      </w:r>
    </w:p>
    <w:p>
      <w:pPr>
        <w:pStyle w:val="Normal"/>
        <w:rPr>
          <w:rFonts w:ascii="Times New Roman" w:hAnsi="Times New Roman" w:eastAsia="Times New Roman" w:cs="Times New Roman"/>
          <w:kern w:val="0"/>
          <w14:ligatures w14:val="none"/>
        </w:rPr>
      </w:pPr>
      <w:r>
        <w:rPr/>
        <mc:AlternateContent>
          <mc:Choice Requires="wps">
            <w:drawing>
              <wp:inline distT="0" distB="0" distL="0" distR="0">
                <wp:extent cx="594423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943600" cy="720"/>
                        </a:xfrm>
                        <a:prstGeom prst="rect">
                          <a:avLst/>
                        </a:prstGeom>
                        <a:solidFill>
                          <a:srgbClr val="000000"/>
                        </a:solidFill>
                        <a:ln>
                          <a:noFill/>
                        </a:ln>
                      </wps:spPr>
                      <wps:bodyPr/>
                    </wps:wsp>
                  </a:graphicData>
                </a:graphic>
                <wp14:sizeRelH relativeFrom="page">
                  <wp14:pctWidth>100000</wp14:pctWidth>
                </wp14:sizeRelH>
              </wp:inline>
            </w:drawing>
          </mc:Choice>
          <mc:Fallback>
            <w:pict>
              <v:rect id="shape_0" fillcolor="black" stroked="f" style="position:absolute;margin-left:0pt;margin-top:-0.1pt;width:467.95pt;height:0pt;mso-position-horizontal:center;mso-position-vertical:top">
                <w10:wrap type="none"/>
                <v:fill o:detectmouseclick="t" type="solid" color2="white"/>
                <v:stroke color="#3465a4" joinstyle="round" endcap="flat"/>
              </v:rect>
            </w:pict>
          </mc:Fallback>
        </mc:AlternateContent>
      </w:r>
    </w:p>
    <w:tbl>
      <w:tblPr>
        <w:tblW w:w="4111" w:type="dxa"/>
        <w:jc w:val="left"/>
        <w:tblInd w:w="0" w:type="dxa"/>
        <w:tblCellMar>
          <w:top w:w="15" w:type="dxa"/>
          <w:left w:w="15" w:type="dxa"/>
          <w:bottom w:w="15" w:type="dxa"/>
          <w:right w:w="15" w:type="dxa"/>
        </w:tblCellMar>
        <w:tblLook w:val="04a0" w:noHBand="0" w:noVBand="1" w:firstColumn="1" w:lastRow="0" w:lastColumn="0" w:firstRow="1"/>
      </w:tblPr>
      <w:tblGrid>
        <w:gridCol w:w="554"/>
        <w:gridCol w:w="2021"/>
        <w:gridCol w:w="981"/>
        <w:gridCol w:w="554"/>
      </w:tblGrid>
      <w:tr>
        <w:trPr>
          <w:tblHeader w:val="true"/>
        </w:trPr>
        <w:tc>
          <w:tcPr>
            <w:tcW w:w="554" w:type="dxa"/>
            <w:tcBorders/>
            <w:vAlign w:val="center"/>
          </w:tcPr>
          <w:p>
            <w:pPr>
              <w:pStyle w:val="Normal"/>
              <w:jc w:val="center"/>
              <w:rPr>
                <w:rFonts w:ascii="Times New Roman" w:hAnsi="Times New Roman" w:eastAsia="Times New Roman" w:cs="Times New Roman"/>
                <w:b/>
                <w:b/>
                <w:bCs/>
                <w:color w:val="000000"/>
                <w:kern w:val="0"/>
                <w14:ligatures w14:val="none"/>
              </w:rPr>
            </w:pPr>
            <w:r>
              <w:rPr>
                <w:rFonts w:eastAsia="Times New Roman" w:cs="Times New Roman" w:ascii="Times New Roman" w:hAnsi="Times New Roman"/>
                <w:b/>
                <w:bCs/>
                <w:color w:val="000000"/>
                <w:kern w:val="0"/>
                <w14:ligatures w14:val="none"/>
              </w:rPr>
              <w:t>Item</w:t>
            </w:r>
          </w:p>
        </w:tc>
        <w:tc>
          <w:tcPr>
            <w:tcW w:w="2021" w:type="dxa"/>
            <w:tcBorders/>
            <w:vAlign w:val="center"/>
          </w:tcPr>
          <w:p>
            <w:pPr>
              <w:pStyle w:val="Normal"/>
              <w:jc w:val="center"/>
              <w:rPr>
                <w:rFonts w:ascii="Times New Roman" w:hAnsi="Times New Roman" w:eastAsia="Times New Roman" w:cs="Times New Roman"/>
                <w:b/>
                <w:b/>
                <w:bCs/>
                <w:color w:val="000000"/>
                <w:kern w:val="0"/>
                <w14:ligatures w14:val="none"/>
              </w:rPr>
            </w:pPr>
            <w:r>
              <w:rPr>
                <w:rFonts w:eastAsia="Times New Roman" w:cs="Times New Roman" w:ascii="Times New Roman" w:hAnsi="Times New Roman"/>
                <w:b/>
                <w:bCs/>
                <w:color w:val="000000"/>
                <w:kern w:val="0"/>
                <w14:ligatures w14:val="none"/>
              </w:rPr>
              <w:t>Description</w:t>
            </w:r>
          </w:p>
        </w:tc>
        <w:tc>
          <w:tcPr>
            <w:tcW w:w="981" w:type="dxa"/>
            <w:tcBorders/>
            <w:vAlign w:val="center"/>
          </w:tcPr>
          <w:p>
            <w:pPr>
              <w:pStyle w:val="Normal"/>
              <w:jc w:val="center"/>
              <w:rPr>
                <w:rFonts w:ascii="Times New Roman" w:hAnsi="Times New Roman" w:eastAsia="Times New Roman" w:cs="Times New Roman"/>
                <w:b/>
                <w:b/>
                <w:bCs/>
                <w:color w:val="000000"/>
                <w:kern w:val="0"/>
                <w14:ligatures w14:val="none"/>
              </w:rPr>
            </w:pPr>
            <w:r>
              <w:rPr>
                <w:rFonts w:eastAsia="Times New Roman" w:cs="Times New Roman" w:ascii="Times New Roman" w:hAnsi="Times New Roman"/>
                <w:b/>
                <w:bCs/>
                <w:color w:val="000000"/>
                <w:kern w:val="0"/>
                <w14:ligatures w14:val="none"/>
              </w:rPr>
              <w:t>Quantity</w:t>
            </w:r>
          </w:p>
        </w:tc>
        <w:tc>
          <w:tcPr>
            <w:tcW w:w="554" w:type="dxa"/>
            <w:tcBorders/>
            <w:vAlign w:val="center"/>
          </w:tcPr>
          <w:p>
            <w:pPr>
              <w:pStyle w:val="Normal"/>
              <w:jc w:val="center"/>
              <w:rPr>
                <w:rFonts w:ascii="Times New Roman" w:hAnsi="Times New Roman" w:eastAsia="Times New Roman" w:cs="Times New Roman"/>
                <w:b/>
                <w:b/>
                <w:bCs/>
                <w:color w:val="000000"/>
                <w:kern w:val="0"/>
                <w14:ligatures w14:val="none"/>
              </w:rPr>
            </w:pPr>
            <w:r>
              <w:rPr>
                <w:rFonts w:eastAsia="Times New Roman" w:cs="Times New Roman" w:ascii="Times New Roman" w:hAnsi="Times New Roman"/>
                <w:b/>
                <w:bCs/>
                <w:color w:val="000000"/>
                <w:kern w:val="0"/>
                <w14:ligatures w14:val="none"/>
              </w:rPr>
              <w:t>Unit</w:t>
            </w:r>
          </w:p>
        </w:tc>
      </w:tr>
      <w:tr>
        <w:trPr/>
        <w:tc>
          <w:tcPr>
            <w:tcW w:w="554"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1</w:t>
            </w:r>
          </w:p>
        </w:tc>
        <w:tc>
          <w:tcPr>
            <w:tcW w:w="2021"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Ball Valve, 2 inch</w:t>
            </w:r>
          </w:p>
        </w:tc>
        <w:tc>
          <w:tcPr>
            <w:tcW w:w="981"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100</w:t>
            </w:r>
          </w:p>
        </w:tc>
        <w:tc>
          <w:tcPr>
            <w:tcW w:w="554"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Each</w:t>
            </w:r>
          </w:p>
        </w:tc>
      </w:tr>
      <w:tr>
        <w:trPr/>
        <w:tc>
          <w:tcPr>
            <w:tcW w:w="554"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2</w:t>
            </w:r>
          </w:p>
        </w:tc>
        <w:tc>
          <w:tcPr>
            <w:tcW w:w="2021"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Gate Valve, 4 inch</w:t>
            </w:r>
          </w:p>
        </w:tc>
        <w:tc>
          <w:tcPr>
            <w:tcW w:w="981"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50</w:t>
            </w:r>
          </w:p>
        </w:tc>
        <w:tc>
          <w:tcPr>
            <w:tcW w:w="554"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Each</w:t>
            </w:r>
          </w:p>
        </w:tc>
      </w:tr>
      <w:tr>
        <w:trPr/>
        <w:tc>
          <w:tcPr>
            <w:tcW w:w="554"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3</w:t>
            </w:r>
          </w:p>
        </w:tc>
        <w:tc>
          <w:tcPr>
            <w:tcW w:w="2021"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Check Valve, 6 inch</w:t>
            </w:r>
          </w:p>
        </w:tc>
        <w:tc>
          <w:tcPr>
            <w:tcW w:w="981"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30</w:t>
            </w:r>
          </w:p>
        </w:tc>
        <w:tc>
          <w:tcPr>
            <w:tcW w:w="554" w:type="dxa"/>
            <w:tcBorders/>
            <w:vAlign w:val="center"/>
          </w:tcPr>
          <w:p>
            <w:pPr>
              <w:pStyle w:val="Normal"/>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Each</w:t>
            </w:r>
          </w:p>
        </w:tc>
      </w:tr>
    </w:tbl>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en-CA" w:eastAsia="en-US" w:bidi="ar-SA"/>
      <w14:ligatures w14:val="standardContextual"/>
    </w:rPr>
  </w:style>
  <w:style w:type="paragraph" w:styleId="Heading1">
    <w:name w:val="Heading 1"/>
    <w:basedOn w:val="Normal"/>
    <w:next w:val="Normal"/>
    <w:link w:val="Heading1Char"/>
    <w:uiPriority w:val="9"/>
    <w:qFormat/>
    <w:rsid w:val="00ca5284"/>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ca5284"/>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ca5284"/>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unhideWhenUsed/>
    <w:qFormat/>
    <w:rsid w:val="00ca5284"/>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a5284"/>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ca5284"/>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a528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ca5284"/>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a5284"/>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a5284"/>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ca5284"/>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ca5284"/>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qFormat/>
    <w:rsid w:val="00ca5284"/>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ca5284"/>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ca5284"/>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ca5284"/>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ca5284"/>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ca5284"/>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ca528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ca5284"/>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ca5284"/>
    <w:rPr>
      <w:i/>
      <w:iCs/>
      <w:color w:val="404040" w:themeColor="text1" w:themeTint="bf"/>
    </w:rPr>
  </w:style>
  <w:style w:type="character" w:styleId="IntenseEmphasis">
    <w:name w:val="Intense Emphasis"/>
    <w:basedOn w:val="DefaultParagraphFont"/>
    <w:uiPriority w:val="21"/>
    <w:qFormat/>
    <w:rsid w:val="00ca5284"/>
    <w:rPr>
      <w:i/>
      <w:iCs/>
      <w:color w:val="0F4761" w:themeColor="accent1" w:themeShade="bf"/>
    </w:rPr>
  </w:style>
  <w:style w:type="character" w:styleId="IntenseQuoteChar" w:customStyle="1">
    <w:name w:val="Intense Quote Char"/>
    <w:basedOn w:val="DefaultParagraphFont"/>
    <w:link w:val="IntenseQuote"/>
    <w:uiPriority w:val="30"/>
    <w:qFormat/>
    <w:rsid w:val="00ca5284"/>
    <w:rPr>
      <w:i/>
      <w:iCs/>
      <w:color w:val="0F4761" w:themeColor="accent1" w:themeShade="bf"/>
    </w:rPr>
  </w:style>
  <w:style w:type="character" w:styleId="IntenseReference">
    <w:name w:val="Intense Reference"/>
    <w:basedOn w:val="DefaultParagraphFont"/>
    <w:uiPriority w:val="32"/>
    <w:qFormat/>
    <w:rsid w:val="00ca5284"/>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ca5284"/>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a5284"/>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ca5284"/>
    <w:pPr>
      <w:spacing w:before="160" w:after="160"/>
      <w:jc w:val="center"/>
    </w:pPr>
    <w:rPr>
      <w:i/>
      <w:iCs/>
      <w:color w:val="404040" w:themeColor="text1" w:themeTint="bf"/>
    </w:rPr>
  </w:style>
  <w:style w:type="paragraph" w:styleId="ListParagraph">
    <w:name w:val="List Paragraph"/>
    <w:basedOn w:val="Normal"/>
    <w:uiPriority w:val="34"/>
    <w:qFormat/>
    <w:rsid w:val="00ca5284"/>
    <w:pPr>
      <w:spacing w:before="0" w:after="0"/>
      <w:ind w:left="720" w:hanging="0"/>
      <w:contextualSpacing/>
    </w:pPr>
    <w:rPr/>
  </w:style>
  <w:style w:type="paragraph" w:styleId="IntenseQuote">
    <w:name w:val="Intense Quote"/>
    <w:basedOn w:val="Normal"/>
    <w:next w:val="Normal"/>
    <w:link w:val="IntenseQuoteChar"/>
    <w:uiPriority w:val="30"/>
    <w:qFormat/>
    <w:rsid w:val="00ca5284"/>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LibreOffice/6.4.7.2$Linux_X86_64 LibreOffice_project/40$Build-2</Application>
  <Pages>2</Pages>
  <Words>375</Words>
  <Characters>1800</Characters>
  <CharactersWithSpaces>2149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2024-07-11T13:30:00Z</dcterms:created>
  <dc:creator>Mariem Akrout</dc:creator>
  <dc:description/>
  <dc:language>en-US</dc:language>
  <cp:lastModifiedBy/>
  <dcterms:modified xsi:type="dcterms:W3CDTF">2025-01-14T02:27:20Z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